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B535" w14:textId="77777777" w:rsidR="003B2B42" w:rsidRDefault="003B2B42" w:rsidP="005A2E9A">
      <w:pPr>
        <w:spacing w:after="0" w:line="240" w:lineRule="auto"/>
        <w:jc w:val="center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6BDB73F3" w14:textId="77777777" w:rsidR="005A2E9A" w:rsidRDefault="005A2E9A" w:rsidP="005A2E9A">
      <w:pPr>
        <w:pBdr>
          <w:top w:val="single" w:sz="4" w:space="1" w:color="auto"/>
          <w:bottom w:val="single" w:sz="6" w:space="1" w:color="auto"/>
        </w:pBdr>
        <w:spacing w:after="0" w:line="240" w:lineRule="auto"/>
        <w:jc w:val="center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09479069" w14:textId="5CFC2052" w:rsidR="00024C40" w:rsidRPr="00E60D17" w:rsidRDefault="00024C40" w:rsidP="005A2E9A">
      <w:pPr>
        <w:pBdr>
          <w:top w:val="single" w:sz="4" w:space="1" w:color="auto"/>
          <w:bottom w:val="single" w:sz="6" w:space="1" w:color="auto"/>
        </w:pBdr>
        <w:spacing w:after="0" w:line="240" w:lineRule="auto"/>
        <w:jc w:val="center"/>
        <w:rPr>
          <w:rFonts w:ascii="Verdana" w:hAnsi="Verdana"/>
          <w:b/>
          <w:bCs/>
          <w:color w:val="4472C4" w:themeColor="accent1"/>
          <w:sz w:val="20"/>
          <w:szCs w:val="20"/>
        </w:rPr>
      </w:pPr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Plan </w:t>
      </w:r>
      <w:r w:rsidR="00814EE5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d’action </w:t>
      </w:r>
      <w:r w:rsidR="00E32C14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du Forum de dialogue </w:t>
      </w:r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2026-2027</w:t>
      </w:r>
    </w:p>
    <w:p w14:paraId="689F3D3C" w14:textId="77777777" w:rsidR="00E32C14" w:rsidRPr="00E60D17" w:rsidRDefault="00E32C14" w:rsidP="005A2E9A">
      <w:pPr>
        <w:pBdr>
          <w:top w:val="single" w:sz="4" w:space="1" w:color="auto"/>
          <w:bottom w:val="single" w:sz="6" w:space="1" w:color="auto"/>
        </w:pBdr>
        <w:spacing w:after="0" w:line="240" w:lineRule="auto"/>
        <w:jc w:val="center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499C43D9" w14:textId="77777777" w:rsidR="00C56AD4" w:rsidRPr="00E60D17" w:rsidRDefault="00E32C14" w:rsidP="005A2E9A">
      <w:pPr>
        <w:pBdr>
          <w:top w:val="single" w:sz="4" w:space="1" w:color="auto"/>
          <w:bottom w:val="single" w:sz="6" w:space="1" w:color="auto"/>
        </w:pBdr>
        <w:spacing w:after="0" w:line="240" w:lineRule="auto"/>
        <w:jc w:val="center"/>
        <w:rPr>
          <w:rFonts w:ascii="Verdana" w:hAnsi="Verdana"/>
          <w:b/>
          <w:bCs/>
          <w:color w:val="4472C4" w:themeColor="accent1"/>
          <w:sz w:val="20"/>
          <w:szCs w:val="20"/>
        </w:rPr>
      </w:pPr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A</w:t>
      </w:r>
      <w:r w:rsidR="00F15678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pprofondissement du dialogue entre régulateurs et grandes plateformes</w:t>
      </w:r>
      <w:r w:rsidR="00167480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</w:t>
      </w:r>
    </w:p>
    <w:p w14:paraId="4CEB654E" w14:textId="516DF613" w:rsidR="00682227" w:rsidRPr="00E60D17" w:rsidRDefault="00C56AD4" w:rsidP="005A2E9A">
      <w:pPr>
        <w:pBdr>
          <w:top w:val="single" w:sz="4" w:space="1" w:color="auto"/>
          <w:bottom w:val="single" w:sz="6" w:space="1" w:color="auto"/>
        </w:pBdr>
        <w:spacing w:after="0" w:line="240" w:lineRule="auto"/>
        <w:jc w:val="center"/>
        <w:rPr>
          <w:rFonts w:ascii="Verdana" w:hAnsi="Verdana"/>
          <w:b/>
          <w:bCs/>
          <w:color w:val="4472C4" w:themeColor="accent1"/>
          <w:sz w:val="20"/>
          <w:szCs w:val="20"/>
        </w:rPr>
      </w:pPr>
      <w:proofErr w:type="gramStart"/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sur</w:t>
      </w:r>
      <w:proofErr w:type="gramEnd"/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le continent africain</w:t>
      </w:r>
      <w:r w:rsidR="00763EF1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</w:t>
      </w:r>
      <w:r w:rsidR="002B2A79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et </w:t>
      </w:r>
      <w:r w:rsidR="00763EF1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dans l’espace francophone </w:t>
      </w:r>
    </w:p>
    <w:p w14:paraId="102126A0" w14:textId="77777777" w:rsidR="00FA742E" w:rsidRPr="00E60D17" w:rsidRDefault="00FA742E" w:rsidP="005A2E9A">
      <w:pPr>
        <w:pBdr>
          <w:top w:val="single" w:sz="4" w:space="1" w:color="auto"/>
          <w:bottom w:val="single" w:sz="6" w:space="1" w:color="auto"/>
        </w:pBdr>
        <w:spacing w:after="0" w:line="240" w:lineRule="auto"/>
        <w:jc w:val="center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6E1240C3" w14:textId="77777777" w:rsidR="00DC44B1" w:rsidRPr="00E60D17" w:rsidRDefault="00DC44B1" w:rsidP="00DE3972">
      <w:pPr>
        <w:jc w:val="both"/>
        <w:rPr>
          <w:rFonts w:ascii="Verdana" w:hAnsi="Verdana"/>
          <w:sz w:val="20"/>
          <w:szCs w:val="20"/>
        </w:rPr>
      </w:pPr>
    </w:p>
    <w:p w14:paraId="76C94C4C" w14:textId="45A6BC53" w:rsidR="004A3CA8" w:rsidRPr="00E60D17" w:rsidRDefault="00A26A63" w:rsidP="00DE3972">
      <w:pPr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>Soucieux de contribuer au développement</w:t>
      </w:r>
      <w:r w:rsidR="007B49F3" w:rsidRPr="00E60D17">
        <w:rPr>
          <w:rFonts w:ascii="Verdana" w:hAnsi="Verdana"/>
          <w:sz w:val="20"/>
          <w:szCs w:val="20"/>
        </w:rPr>
        <w:t xml:space="preserve"> </w:t>
      </w:r>
      <w:r w:rsidRPr="00E60D17">
        <w:rPr>
          <w:rFonts w:ascii="Verdana" w:hAnsi="Verdana"/>
          <w:sz w:val="20"/>
          <w:szCs w:val="20"/>
        </w:rPr>
        <w:t>d’</w:t>
      </w:r>
      <w:r w:rsidR="007B49F3" w:rsidRPr="00E60D17">
        <w:rPr>
          <w:rFonts w:ascii="Verdana" w:hAnsi="Verdana"/>
          <w:sz w:val="20"/>
          <w:szCs w:val="20"/>
        </w:rPr>
        <w:t xml:space="preserve">un espace numérique </w:t>
      </w:r>
      <w:r w:rsidRPr="00E60D17">
        <w:rPr>
          <w:rFonts w:ascii="Verdana" w:hAnsi="Verdana"/>
          <w:sz w:val="20"/>
          <w:szCs w:val="20"/>
        </w:rPr>
        <w:t xml:space="preserve">sûr et de confiance, </w:t>
      </w:r>
      <w:r w:rsidR="007B49F3" w:rsidRPr="00E60D17">
        <w:rPr>
          <w:rFonts w:ascii="Verdana" w:hAnsi="Verdana"/>
          <w:sz w:val="20"/>
          <w:szCs w:val="20"/>
        </w:rPr>
        <w:t>respectueux de la démocratie et des droits de l’Homme</w:t>
      </w:r>
      <w:r w:rsidR="009E4CE0" w:rsidRPr="00E60D17">
        <w:rPr>
          <w:rFonts w:ascii="Verdana" w:hAnsi="Verdana"/>
          <w:sz w:val="20"/>
          <w:szCs w:val="20"/>
        </w:rPr>
        <w:t xml:space="preserve"> </w:t>
      </w:r>
      <w:r w:rsidR="007B49F3" w:rsidRPr="00E60D17">
        <w:rPr>
          <w:rFonts w:ascii="Verdana" w:hAnsi="Verdana"/>
          <w:sz w:val="20"/>
          <w:szCs w:val="20"/>
        </w:rPr>
        <w:t>et favorisant la diversité culturelle et linguistique</w:t>
      </w:r>
      <w:r w:rsidR="004A3CA8" w:rsidRPr="00E60D17">
        <w:rPr>
          <w:rFonts w:ascii="Verdana" w:hAnsi="Verdana"/>
          <w:sz w:val="20"/>
          <w:szCs w:val="20"/>
        </w:rPr>
        <w:t xml:space="preserve">, le Réseau francophone des régulateurs des médias (REFRAM) et le Réseau des instances africaines de régulation de la communication (RIARC) se sont donné comme priorité l’adaptation de la </w:t>
      </w:r>
      <w:r w:rsidR="00AB12B8" w:rsidRPr="00E60D17">
        <w:rPr>
          <w:rFonts w:ascii="Verdana" w:hAnsi="Verdana"/>
          <w:sz w:val="20"/>
          <w:szCs w:val="20"/>
        </w:rPr>
        <w:t>régulation des médias aux enjeux et défis des plateformes numériques</w:t>
      </w:r>
      <w:r w:rsidR="004A3CA8" w:rsidRPr="00E60D17">
        <w:rPr>
          <w:rFonts w:ascii="Verdana" w:hAnsi="Verdana"/>
          <w:sz w:val="20"/>
          <w:szCs w:val="20"/>
        </w:rPr>
        <w:t xml:space="preserve">. </w:t>
      </w:r>
    </w:p>
    <w:p w14:paraId="05A631E2" w14:textId="0D7FBAA6" w:rsidR="009F205A" w:rsidRPr="00E60D17" w:rsidRDefault="00E06D3C" w:rsidP="00DE3972">
      <w:pPr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 xml:space="preserve">Dans </w:t>
      </w:r>
      <w:r w:rsidR="00DD50CB" w:rsidRPr="00E60D17">
        <w:rPr>
          <w:rFonts w:ascii="Verdana" w:hAnsi="Verdana"/>
          <w:sz w:val="20"/>
          <w:szCs w:val="20"/>
        </w:rPr>
        <w:t>ce</w:t>
      </w:r>
      <w:r w:rsidR="00A26A63" w:rsidRPr="00E60D17">
        <w:rPr>
          <w:rFonts w:ascii="Verdana" w:hAnsi="Verdana"/>
          <w:sz w:val="20"/>
          <w:szCs w:val="20"/>
        </w:rPr>
        <w:t>tte</w:t>
      </w:r>
      <w:r w:rsidR="00DD50CB" w:rsidRPr="00E60D17">
        <w:rPr>
          <w:rFonts w:ascii="Verdana" w:hAnsi="Verdana"/>
          <w:sz w:val="20"/>
          <w:szCs w:val="20"/>
        </w:rPr>
        <w:t xml:space="preserve"> perspective</w:t>
      </w:r>
      <w:r w:rsidRPr="00E60D17">
        <w:rPr>
          <w:rFonts w:ascii="Verdana" w:hAnsi="Verdana"/>
          <w:sz w:val="20"/>
          <w:szCs w:val="20"/>
        </w:rPr>
        <w:t xml:space="preserve">, le REFRAM et le RIARC ont </w:t>
      </w:r>
      <w:r w:rsidR="00A26A63" w:rsidRPr="00E60D17">
        <w:rPr>
          <w:rFonts w:ascii="Verdana" w:hAnsi="Verdana"/>
          <w:sz w:val="20"/>
          <w:szCs w:val="20"/>
        </w:rPr>
        <w:t>souhaité</w:t>
      </w:r>
      <w:r w:rsidR="00DD50CB" w:rsidRPr="00E60D17">
        <w:rPr>
          <w:rFonts w:ascii="Verdana" w:hAnsi="Verdana"/>
          <w:sz w:val="20"/>
          <w:szCs w:val="20"/>
        </w:rPr>
        <w:t xml:space="preserve"> </w:t>
      </w:r>
      <w:r w:rsidRPr="00E60D17">
        <w:rPr>
          <w:rFonts w:ascii="Verdana" w:hAnsi="Verdana"/>
          <w:sz w:val="20"/>
          <w:szCs w:val="20"/>
        </w:rPr>
        <w:t xml:space="preserve">renforcer et </w:t>
      </w:r>
      <w:r w:rsidR="00F052C1" w:rsidRPr="00E60D17">
        <w:rPr>
          <w:rFonts w:ascii="Verdana" w:hAnsi="Verdana"/>
          <w:sz w:val="20"/>
          <w:szCs w:val="20"/>
        </w:rPr>
        <w:t xml:space="preserve">pérenniser un dialogue </w:t>
      </w:r>
      <w:r w:rsidRPr="00E60D17">
        <w:rPr>
          <w:rFonts w:ascii="Verdana" w:hAnsi="Verdana"/>
          <w:sz w:val="20"/>
          <w:szCs w:val="20"/>
        </w:rPr>
        <w:t xml:space="preserve">constructif </w:t>
      </w:r>
      <w:r w:rsidR="00A26A63" w:rsidRPr="00E60D17">
        <w:rPr>
          <w:rFonts w:ascii="Verdana" w:hAnsi="Verdana"/>
          <w:sz w:val="20"/>
          <w:szCs w:val="20"/>
        </w:rPr>
        <w:t xml:space="preserve">de haut niveau </w:t>
      </w:r>
      <w:r w:rsidR="00F052C1" w:rsidRPr="00E60D17">
        <w:rPr>
          <w:rFonts w:ascii="Verdana" w:hAnsi="Verdana"/>
          <w:sz w:val="20"/>
          <w:szCs w:val="20"/>
        </w:rPr>
        <w:t>entre régulateurs et grandes plateformes</w:t>
      </w:r>
      <w:r w:rsidR="00DD50CB" w:rsidRPr="00E60D17">
        <w:rPr>
          <w:rFonts w:ascii="Verdana" w:hAnsi="Verdana"/>
          <w:sz w:val="20"/>
          <w:szCs w:val="20"/>
        </w:rPr>
        <w:t xml:space="preserve"> présentes en Afrique </w:t>
      </w:r>
      <w:r w:rsidR="00853193" w:rsidRPr="00E60D17">
        <w:rPr>
          <w:rFonts w:ascii="Verdana" w:hAnsi="Verdana"/>
          <w:sz w:val="20"/>
          <w:szCs w:val="20"/>
        </w:rPr>
        <w:t xml:space="preserve">et </w:t>
      </w:r>
      <w:r w:rsidR="00DD50CB" w:rsidRPr="00E60D17">
        <w:rPr>
          <w:rFonts w:ascii="Verdana" w:hAnsi="Verdana"/>
          <w:sz w:val="20"/>
          <w:szCs w:val="20"/>
        </w:rPr>
        <w:t>dans l’espace francophone</w:t>
      </w:r>
      <w:r w:rsidR="009E4CE0" w:rsidRPr="00E60D17">
        <w:rPr>
          <w:rFonts w:ascii="Verdana" w:hAnsi="Verdana"/>
          <w:sz w:val="20"/>
          <w:szCs w:val="20"/>
        </w:rPr>
        <w:t xml:space="preserve">, afin </w:t>
      </w:r>
      <w:r w:rsidR="00F47EB7" w:rsidRPr="00E60D17">
        <w:rPr>
          <w:rFonts w:ascii="Verdana" w:hAnsi="Verdana"/>
          <w:sz w:val="20"/>
          <w:szCs w:val="20"/>
        </w:rPr>
        <w:t xml:space="preserve">de relever </w:t>
      </w:r>
      <w:r w:rsidR="008533D7" w:rsidRPr="00E60D17">
        <w:rPr>
          <w:rFonts w:ascii="Verdana" w:hAnsi="Verdana"/>
          <w:sz w:val="20"/>
          <w:szCs w:val="20"/>
        </w:rPr>
        <w:t xml:space="preserve">collectivement les </w:t>
      </w:r>
      <w:r w:rsidR="005F0488" w:rsidRPr="00E60D17">
        <w:rPr>
          <w:rFonts w:ascii="Verdana" w:hAnsi="Verdana"/>
          <w:sz w:val="20"/>
          <w:szCs w:val="20"/>
        </w:rPr>
        <w:t>défis</w:t>
      </w:r>
      <w:r w:rsidR="00F07BD2" w:rsidRPr="00E60D17">
        <w:rPr>
          <w:rFonts w:ascii="Verdana" w:hAnsi="Verdana"/>
          <w:sz w:val="20"/>
          <w:szCs w:val="20"/>
        </w:rPr>
        <w:t xml:space="preserve"> de société</w:t>
      </w:r>
      <w:r w:rsidR="005F0488" w:rsidRPr="00E60D17">
        <w:rPr>
          <w:rFonts w:ascii="Verdana" w:hAnsi="Verdana"/>
          <w:sz w:val="20"/>
          <w:szCs w:val="20"/>
        </w:rPr>
        <w:t xml:space="preserve"> posés par les </w:t>
      </w:r>
      <w:r w:rsidR="008533D7" w:rsidRPr="00E60D17">
        <w:rPr>
          <w:rFonts w:ascii="Verdana" w:hAnsi="Verdana"/>
          <w:sz w:val="20"/>
          <w:szCs w:val="20"/>
        </w:rPr>
        <w:t>transformations</w:t>
      </w:r>
      <w:r w:rsidR="007D1E54" w:rsidRPr="00E60D17">
        <w:rPr>
          <w:rFonts w:ascii="Verdana" w:hAnsi="Verdana"/>
          <w:sz w:val="20"/>
          <w:szCs w:val="20"/>
        </w:rPr>
        <w:t xml:space="preserve"> numériques</w:t>
      </w:r>
      <w:r w:rsidR="00DD50CB" w:rsidRPr="00E60D17">
        <w:rPr>
          <w:rFonts w:ascii="Verdana" w:hAnsi="Verdana"/>
          <w:sz w:val="20"/>
          <w:szCs w:val="20"/>
        </w:rPr>
        <w:t xml:space="preserve">. </w:t>
      </w:r>
    </w:p>
    <w:p w14:paraId="3F181873" w14:textId="56B00099" w:rsidR="00786A10" w:rsidRPr="00E60D17" w:rsidRDefault="00DD50CB" w:rsidP="00CF6D59">
      <w:pPr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>Acté</w:t>
      </w:r>
      <w:r w:rsidR="00DC44B1" w:rsidRPr="00E60D17">
        <w:rPr>
          <w:rFonts w:ascii="Verdana" w:hAnsi="Verdana"/>
          <w:sz w:val="20"/>
          <w:szCs w:val="20"/>
        </w:rPr>
        <w:t>e</w:t>
      </w:r>
      <w:r w:rsidRPr="00E60D17">
        <w:rPr>
          <w:rFonts w:ascii="Verdana" w:hAnsi="Verdana"/>
          <w:sz w:val="20"/>
          <w:szCs w:val="20"/>
        </w:rPr>
        <w:t xml:space="preserve"> lors de</w:t>
      </w:r>
      <w:r w:rsidR="00ED0B5B" w:rsidRPr="00E60D17">
        <w:rPr>
          <w:rFonts w:ascii="Verdana" w:hAnsi="Verdana"/>
          <w:sz w:val="20"/>
          <w:szCs w:val="20"/>
        </w:rPr>
        <w:t xml:space="preserve"> la conférence commune du </w:t>
      </w:r>
      <w:r w:rsidRPr="00E60D17">
        <w:rPr>
          <w:rFonts w:ascii="Verdana" w:hAnsi="Verdana"/>
          <w:sz w:val="20"/>
          <w:szCs w:val="20"/>
        </w:rPr>
        <w:t>REFRAM</w:t>
      </w:r>
      <w:r w:rsidR="00ED0B5B" w:rsidRPr="00E60D17">
        <w:rPr>
          <w:rFonts w:ascii="Verdana" w:hAnsi="Verdana"/>
          <w:sz w:val="20"/>
          <w:szCs w:val="20"/>
        </w:rPr>
        <w:t xml:space="preserve"> et du </w:t>
      </w:r>
      <w:r w:rsidRPr="00E60D17">
        <w:rPr>
          <w:rFonts w:ascii="Verdana" w:hAnsi="Verdana"/>
          <w:sz w:val="20"/>
          <w:szCs w:val="20"/>
        </w:rPr>
        <w:t>RIARC</w:t>
      </w:r>
      <w:r w:rsidR="00474CA6" w:rsidRPr="00E60D17">
        <w:rPr>
          <w:rFonts w:ascii="Verdana" w:hAnsi="Verdana"/>
          <w:sz w:val="20"/>
          <w:szCs w:val="20"/>
        </w:rPr>
        <w:t>,</w:t>
      </w:r>
      <w:r w:rsidR="00ED0B5B" w:rsidRPr="00E60D17">
        <w:rPr>
          <w:rFonts w:ascii="Verdana" w:hAnsi="Verdana"/>
          <w:sz w:val="20"/>
          <w:szCs w:val="20"/>
        </w:rPr>
        <w:t xml:space="preserve"> </w:t>
      </w:r>
      <w:r w:rsidR="00F672B8" w:rsidRPr="00E60D17">
        <w:rPr>
          <w:rFonts w:ascii="Verdana" w:hAnsi="Verdana"/>
          <w:sz w:val="20"/>
          <w:szCs w:val="20"/>
        </w:rPr>
        <w:t xml:space="preserve">organisée à Abidjan </w:t>
      </w:r>
      <w:r w:rsidR="00474CA6" w:rsidRPr="00E60D17">
        <w:rPr>
          <w:rFonts w:ascii="Verdana" w:hAnsi="Verdana"/>
          <w:sz w:val="20"/>
          <w:szCs w:val="20"/>
        </w:rPr>
        <w:t xml:space="preserve">les 23 et 24 avril 2024, </w:t>
      </w:r>
      <w:r w:rsidR="00B351E2" w:rsidRPr="00E60D17">
        <w:rPr>
          <w:rFonts w:ascii="Verdana" w:hAnsi="Verdana"/>
          <w:sz w:val="20"/>
          <w:szCs w:val="20"/>
        </w:rPr>
        <w:t>ce</w:t>
      </w:r>
      <w:r w:rsidR="00373185" w:rsidRPr="00E60D17">
        <w:rPr>
          <w:rFonts w:ascii="Verdana" w:hAnsi="Verdana"/>
          <w:sz w:val="20"/>
          <w:szCs w:val="20"/>
        </w:rPr>
        <w:t>tte volonté</w:t>
      </w:r>
      <w:r w:rsidR="00B351E2" w:rsidRPr="00E60D17">
        <w:rPr>
          <w:rFonts w:ascii="Verdana" w:hAnsi="Verdana"/>
          <w:sz w:val="20"/>
          <w:szCs w:val="20"/>
        </w:rPr>
        <w:t xml:space="preserve"> </w:t>
      </w:r>
      <w:r w:rsidR="00E32C14" w:rsidRPr="00E60D17">
        <w:rPr>
          <w:rFonts w:ascii="Verdana" w:hAnsi="Verdana"/>
          <w:sz w:val="20"/>
          <w:szCs w:val="20"/>
        </w:rPr>
        <w:t>s</w:t>
      </w:r>
      <w:r w:rsidR="00373185" w:rsidRPr="00E60D17">
        <w:rPr>
          <w:rFonts w:ascii="Verdana" w:hAnsi="Verdana"/>
          <w:sz w:val="20"/>
          <w:szCs w:val="20"/>
        </w:rPr>
        <w:t>’est matérialisée</w:t>
      </w:r>
      <w:r w:rsidR="00E32C14" w:rsidRPr="00E60D17">
        <w:rPr>
          <w:rFonts w:ascii="Verdana" w:hAnsi="Verdana"/>
          <w:sz w:val="20"/>
          <w:szCs w:val="20"/>
        </w:rPr>
        <w:t xml:space="preserve"> par </w:t>
      </w:r>
      <w:r w:rsidR="00392737" w:rsidRPr="00E60D17">
        <w:rPr>
          <w:rFonts w:ascii="Verdana" w:hAnsi="Verdana"/>
          <w:sz w:val="20"/>
          <w:szCs w:val="20"/>
        </w:rPr>
        <w:t>la déclaration</w:t>
      </w:r>
      <w:r w:rsidR="00373185" w:rsidRPr="00E60D17">
        <w:rPr>
          <w:rFonts w:ascii="Verdana" w:hAnsi="Verdana"/>
          <w:sz w:val="20"/>
          <w:szCs w:val="20"/>
        </w:rPr>
        <w:t xml:space="preserve"> </w:t>
      </w:r>
      <w:r w:rsidR="003203F2" w:rsidRPr="00E60D17">
        <w:rPr>
          <w:rFonts w:ascii="Verdana" w:hAnsi="Verdana"/>
          <w:i/>
          <w:iCs/>
          <w:sz w:val="20"/>
          <w:szCs w:val="20"/>
        </w:rPr>
        <w:t xml:space="preserve">sur le renforcement du dialogue entre les régulateurs et les grandes plateformes en ligne sur le continent africain et dans l’espace francophone </w:t>
      </w:r>
      <w:r w:rsidR="00373185" w:rsidRPr="00E60D17">
        <w:rPr>
          <w:rFonts w:ascii="Verdana" w:hAnsi="Verdana"/>
          <w:sz w:val="20"/>
          <w:szCs w:val="20"/>
        </w:rPr>
        <w:t>et le protocole</w:t>
      </w:r>
      <w:r w:rsidR="00392737" w:rsidRPr="00E60D17">
        <w:rPr>
          <w:rFonts w:ascii="Verdana" w:hAnsi="Verdana"/>
          <w:sz w:val="20"/>
          <w:szCs w:val="20"/>
        </w:rPr>
        <w:t xml:space="preserve"> d’Abidjan</w:t>
      </w:r>
      <w:r w:rsidR="00A349E0" w:rsidRPr="00E60D17">
        <w:rPr>
          <w:rFonts w:ascii="Verdana" w:hAnsi="Verdana"/>
          <w:sz w:val="20"/>
          <w:szCs w:val="20"/>
        </w:rPr>
        <w:t>,</w:t>
      </w:r>
      <w:r w:rsidR="00392737" w:rsidRPr="00E60D17">
        <w:rPr>
          <w:rFonts w:ascii="Verdana" w:hAnsi="Verdana"/>
          <w:sz w:val="20"/>
          <w:szCs w:val="20"/>
        </w:rPr>
        <w:t xml:space="preserve"> et</w:t>
      </w:r>
      <w:r w:rsidR="00373185" w:rsidRPr="00E60D17">
        <w:rPr>
          <w:rFonts w:ascii="Verdana" w:hAnsi="Verdana"/>
          <w:sz w:val="20"/>
          <w:szCs w:val="20"/>
        </w:rPr>
        <w:t xml:space="preserve"> par</w:t>
      </w:r>
      <w:r w:rsidRPr="00E60D17">
        <w:rPr>
          <w:rFonts w:ascii="Verdana" w:hAnsi="Verdana"/>
          <w:sz w:val="20"/>
          <w:szCs w:val="20"/>
        </w:rPr>
        <w:t xml:space="preserve"> </w:t>
      </w:r>
      <w:r w:rsidR="00392737" w:rsidRPr="00E60D17">
        <w:rPr>
          <w:rFonts w:ascii="Verdana" w:hAnsi="Verdana"/>
          <w:sz w:val="20"/>
          <w:szCs w:val="20"/>
        </w:rPr>
        <w:t xml:space="preserve">l’engagement volontaire </w:t>
      </w:r>
      <w:r w:rsidR="00AC5CD8" w:rsidRPr="00E60D17">
        <w:rPr>
          <w:rFonts w:ascii="Verdana" w:hAnsi="Verdana"/>
          <w:sz w:val="20"/>
          <w:szCs w:val="20"/>
        </w:rPr>
        <w:t>de</w:t>
      </w:r>
      <w:r w:rsidR="00A26A63" w:rsidRPr="00E60D17">
        <w:rPr>
          <w:rFonts w:ascii="Verdana" w:hAnsi="Verdana"/>
          <w:sz w:val="20"/>
          <w:szCs w:val="20"/>
        </w:rPr>
        <w:t xml:space="preserve"> quatre</w:t>
      </w:r>
      <w:r w:rsidR="00392737" w:rsidRPr="00E60D17">
        <w:rPr>
          <w:rFonts w:ascii="Verdana" w:hAnsi="Verdana"/>
          <w:sz w:val="20"/>
          <w:szCs w:val="20"/>
        </w:rPr>
        <w:t xml:space="preserve"> grandes plateformes</w:t>
      </w:r>
      <w:r w:rsidR="00786A10" w:rsidRPr="00E60D17">
        <w:rPr>
          <w:rFonts w:ascii="Verdana" w:hAnsi="Verdana"/>
          <w:sz w:val="20"/>
          <w:szCs w:val="20"/>
        </w:rPr>
        <w:t xml:space="preserve">. </w:t>
      </w:r>
    </w:p>
    <w:p w14:paraId="655080BA" w14:textId="0F782521" w:rsidR="00786A10" w:rsidRPr="00E60D17" w:rsidRDefault="00786A10" w:rsidP="00786A10">
      <w:pPr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 xml:space="preserve">Les plateformes participantes se sont </w:t>
      </w:r>
      <w:r w:rsidR="00E32C14" w:rsidRPr="00E60D17">
        <w:rPr>
          <w:rFonts w:ascii="Verdana" w:hAnsi="Verdana"/>
          <w:sz w:val="20"/>
          <w:szCs w:val="20"/>
        </w:rPr>
        <w:t xml:space="preserve">ainsi </w:t>
      </w:r>
      <w:r w:rsidRPr="00E60D17">
        <w:rPr>
          <w:rFonts w:ascii="Verdana" w:hAnsi="Verdana"/>
          <w:sz w:val="20"/>
          <w:szCs w:val="20"/>
        </w:rPr>
        <w:t>engagées à prendre des mesures destinées à :</w:t>
      </w:r>
    </w:p>
    <w:p w14:paraId="5C674300" w14:textId="77777777" w:rsidR="00786A10" w:rsidRPr="00E60D17" w:rsidRDefault="00786A10" w:rsidP="002062D4">
      <w:pPr>
        <w:pStyle w:val="Paragraphedeliste"/>
        <w:numPr>
          <w:ilvl w:val="0"/>
          <w:numId w:val="23"/>
        </w:numPr>
        <w:spacing w:after="120" w:line="276" w:lineRule="auto"/>
        <w:jc w:val="both"/>
        <w:rPr>
          <w:rFonts w:ascii="Verdana" w:hAnsi="Verdana"/>
          <w:sz w:val="20"/>
          <w:szCs w:val="18"/>
        </w:rPr>
      </w:pPr>
      <w:proofErr w:type="gramStart"/>
      <w:r w:rsidRPr="00E60D17">
        <w:rPr>
          <w:rFonts w:ascii="Verdana" w:hAnsi="Verdana"/>
          <w:sz w:val="20"/>
          <w:szCs w:val="18"/>
        </w:rPr>
        <w:t>assurer</w:t>
      </w:r>
      <w:proofErr w:type="gramEnd"/>
      <w:r w:rsidRPr="00E60D17">
        <w:rPr>
          <w:rFonts w:ascii="Verdana" w:hAnsi="Verdana"/>
          <w:sz w:val="20"/>
          <w:szCs w:val="18"/>
        </w:rPr>
        <w:t xml:space="preserve"> une plus grande transparence et proximité pour les utilisateurs et les chercheurs, notamment francophones ;</w:t>
      </w:r>
    </w:p>
    <w:p w14:paraId="00823244" w14:textId="77777777" w:rsidR="00786A10" w:rsidRPr="00E60D17" w:rsidRDefault="00786A10" w:rsidP="002062D4">
      <w:pPr>
        <w:pStyle w:val="Paragraphedeliste"/>
        <w:numPr>
          <w:ilvl w:val="0"/>
          <w:numId w:val="23"/>
        </w:numPr>
        <w:spacing w:after="120" w:line="276" w:lineRule="auto"/>
        <w:jc w:val="both"/>
        <w:rPr>
          <w:rFonts w:ascii="Verdana" w:hAnsi="Verdana"/>
          <w:sz w:val="20"/>
          <w:szCs w:val="18"/>
        </w:rPr>
      </w:pPr>
      <w:proofErr w:type="gramStart"/>
      <w:r w:rsidRPr="00E60D17">
        <w:rPr>
          <w:rFonts w:ascii="Verdana" w:hAnsi="Verdana"/>
          <w:sz w:val="20"/>
          <w:szCs w:val="18"/>
        </w:rPr>
        <w:t>assumer</w:t>
      </w:r>
      <w:proofErr w:type="gramEnd"/>
      <w:r w:rsidRPr="00E60D17">
        <w:rPr>
          <w:rFonts w:ascii="Verdana" w:hAnsi="Verdana"/>
          <w:sz w:val="20"/>
          <w:szCs w:val="18"/>
        </w:rPr>
        <w:t xml:space="preserve"> plus avant leurs responsabilités en matière de modération des contenus ;</w:t>
      </w:r>
    </w:p>
    <w:p w14:paraId="1DCF1753" w14:textId="77777777" w:rsidR="00786A10" w:rsidRPr="00E60D17" w:rsidRDefault="00786A10" w:rsidP="002062D4">
      <w:pPr>
        <w:pStyle w:val="Paragraphedeliste"/>
        <w:numPr>
          <w:ilvl w:val="0"/>
          <w:numId w:val="23"/>
        </w:numPr>
        <w:spacing w:after="120" w:line="276" w:lineRule="auto"/>
        <w:jc w:val="both"/>
        <w:rPr>
          <w:rFonts w:ascii="Verdana" w:hAnsi="Verdana"/>
          <w:sz w:val="20"/>
          <w:szCs w:val="18"/>
        </w:rPr>
      </w:pPr>
      <w:proofErr w:type="gramStart"/>
      <w:r w:rsidRPr="00E60D17">
        <w:rPr>
          <w:rFonts w:ascii="Verdana" w:hAnsi="Verdana"/>
          <w:sz w:val="20"/>
          <w:szCs w:val="18"/>
        </w:rPr>
        <w:t>contribuer</w:t>
      </w:r>
      <w:proofErr w:type="gramEnd"/>
      <w:r w:rsidRPr="00E60D17">
        <w:rPr>
          <w:rFonts w:ascii="Verdana" w:hAnsi="Verdana"/>
          <w:sz w:val="20"/>
          <w:szCs w:val="18"/>
        </w:rPr>
        <w:t xml:space="preserve"> à mieux protéger les sociétés et les espaces informationnels francophones et africains des risques liés à l’utilisation de leurs services ;</w:t>
      </w:r>
    </w:p>
    <w:p w14:paraId="64F42BE0" w14:textId="21D376CB" w:rsidR="00786A10" w:rsidRPr="00E60D17" w:rsidRDefault="00786A10" w:rsidP="002062D4">
      <w:pPr>
        <w:pStyle w:val="Paragraphedeliste"/>
        <w:numPr>
          <w:ilvl w:val="0"/>
          <w:numId w:val="23"/>
        </w:numPr>
        <w:spacing w:after="120" w:line="276" w:lineRule="auto"/>
        <w:jc w:val="both"/>
        <w:rPr>
          <w:szCs w:val="20"/>
        </w:rPr>
      </w:pPr>
      <w:proofErr w:type="gramStart"/>
      <w:r w:rsidRPr="00E60D17">
        <w:rPr>
          <w:rFonts w:ascii="Verdana" w:hAnsi="Verdana"/>
          <w:sz w:val="20"/>
          <w:szCs w:val="20"/>
        </w:rPr>
        <w:t>mettre</w:t>
      </w:r>
      <w:proofErr w:type="gramEnd"/>
      <w:r w:rsidRPr="00E60D17">
        <w:rPr>
          <w:rFonts w:ascii="Verdana" w:hAnsi="Verdana"/>
          <w:sz w:val="20"/>
          <w:szCs w:val="20"/>
        </w:rPr>
        <w:t xml:space="preserve"> en œuvre un cadre de dialogue régulier entre régulateurs et plateformes</w:t>
      </w:r>
      <w:r w:rsidR="007D156B" w:rsidRPr="00E60D17">
        <w:rPr>
          <w:rFonts w:ascii="Verdana" w:hAnsi="Verdana"/>
          <w:sz w:val="20"/>
          <w:szCs w:val="20"/>
        </w:rPr>
        <w:t>, en particulier dans le cadre d’un forum annuel ad hoc de haut niveau</w:t>
      </w:r>
      <w:r w:rsidRPr="00E60D17">
        <w:rPr>
          <w:rFonts w:ascii="Verdana" w:hAnsi="Verdana"/>
          <w:sz w:val="20"/>
          <w:szCs w:val="20"/>
        </w:rPr>
        <w:t>.</w:t>
      </w:r>
    </w:p>
    <w:p w14:paraId="7DF8AAD0" w14:textId="6F922B2F" w:rsidR="00763EF1" w:rsidRPr="00E60D17" w:rsidRDefault="00392737" w:rsidP="00CF6D59">
      <w:pPr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>L’Appel</w:t>
      </w:r>
      <w:r w:rsidR="008E31BD" w:rsidRPr="00E60D17">
        <w:rPr>
          <w:rFonts w:ascii="Verdana" w:hAnsi="Verdana"/>
          <w:sz w:val="20"/>
          <w:szCs w:val="20"/>
        </w:rPr>
        <w:t xml:space="preserve"> des 88 chefs d’Etats et de gouvernement de Villers-Cotterêts</w:t>
      </w:r>
      <w:r w:rsidR="003203F2" w:rsidRPr="00E60D17">
        <w:rPr>
          <w:rFonts w:ascii="Verdana" w:hAnsi="Verdana"/>
          <w:sz w:val="20"/>
          <w:szCs w:val="20"/>
        </w:rPr>
        <w:t xml:space="preserve"> </w:t>
      </w:r>
      <w:r w:rsidR="003203F2" w:rsidRPr="00E60D17">
        <w:rPr>
          <w:rFonts w:ascii="Verdana" w:hAnsi="Verdana"/>
          <w:i/>
          <w:iCs/>
          <w:sz w:val="20"/>
          <w:szCs w:val="20"/>
        </w:rPr>
        <w:t>pour un numérique intègre et de confiance</w:t>
      </w:r>
      <w:r w:rsidR="003203F2" w:rsidRPr="00E60D17">
        <w:rPr>
          <w:rFonts w:ascii="Verdana" w:hAnsi="Verdana"/>
          <w:sz w:val="20"/>
          <w:szCs w:val="20"/>
        </w:rPr>
        <w:t xml:space="preserve"> </w:t>
      </w:r>
      <w:r w:rsidR="003203F2" w:rsidRPr="00E60D17">
        <w:rPr>
          <w:rFonts w:ascii="Verdana" w:hAnsi="Verdana"/>
          <w:i/>
          <w:iCs/>
          <w:sz w:val="20"/>
          <w:szCs w:val="20"/>
        </w:rPr>
        <w:t>dans l’espace francophone</w:t>
      </w:r>
      <w:r w:rsidR="008E31BD" w:rsidRPr="00E60D17">
        <w:rPr>
          <w:rFonts w:ascii="Verdana" w:hAnsi="Verdana"/>
          <w:sz w:val="20"/>
          <w:szCs w:val="20"/>
        </w:rPr>
        <w:t xml:space="preserve">, </w:t>
      </w:r>
      <w:r w:rsidR="001D7588" w:rsidRPr="00E60D17">
        <w:rPr>
          <w:rFonts w:ascii="Verdana" w:hAnsi="Verdana"/>
          <w:sz w:val="20"/>
          <w:szCs w:val="20"/>
        </w:rPr>
        <w:t xml:space="preserve">adopté </w:t>
      </w:r>
      <w:r w:rsidR="008E31BD" w:rsidRPr="00E60D17">
        <w:rPr>
          <w:rFonts w:ascii="Verdana" w:hAnsi="Verdana"/>
          <w:sz w:val="20"/>
          <w:szCs w:val="20"/>
        </w:rPr>
        <w:t>à l’occasion du XIXe Sommet de la Francophonie</w:t>
      </w:r>
      <w:r w:rsidR="000E2BBD" w:rsidRPr="00E60D17">
        <w:rPr>
          <w:rFonts w:ascii="Verdana" w:hAnsi="Verdana"/>
          <w:sz w:val="20"/>
          <w:szCs w:val="20"/>
        </w:rPr>
        <w:t xml:space="preserve"> les 4 et 5 </w:t>
      </w:r>
      <w:r w:rsidR="008E31BD" w:rsidRPr="00E60D17">
        <w:rPr>
          <w:rFonts w:ascii="Verdana" w:hAnsi="Verdana"/>
          <w:sz w:val="20"/>
          <w:szCs w:val="20"/>
        </w:rPr>
        <w:t xml:space="preserve">octobre 2024, a donné une assise </w:t>
      </w:r>
      <w:r w:rsidR="00A26A63" w:rsidRPr="00E60D17">
        <w:rPr>
          <w:rFonts w:ascii="Verdana" w:hAnsi="Verdana"/>
          <w:sz w:val="20"/>
          <w:szCs w:val="20"/>
        </w:rPr>
        <w:t>renforcée</w:t>
      </w:r>
      <w:r w:rsidR="00E32C14" w:rsidRPr="00E60D17">
        <w:rPr>
          <w:rFonts w:ascii="Verdana" w:hAnsi="Verdana"/>
          <w:sz w:val="20"/>
          <w:szCs w:val="20"/>
        </w:rPr>
        <w:t xml:space="preserve"> au dialogue entre régulateurs et plateformes</w:t>
      </w:r>
      <w:r w:rsidR="008E31BD" w:rsidRPr="00E60D17">
        <w:rPr>
          <w:rFonts w:ascii="Verdana" w:hAnsi="Verdana"/>
          <w:sz w:val="20"/>
          <w:szCs w:val="20"/>
        </w:rPr>
        <w:t xml:space="preserve">. </w:t>
      </w:r>
    </w:p>
    <w:p w14:paraId="05B3968C" w14:textId="2D1F1D2B" w:rsidR="00FD4BBB" w:rsidRPr="00E60D17" w:rsidRDefault="007D156B" w:rsidP="007D156B">
      <w:pPr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>Le REFRAM et le RIARC entendent continuer à développer des relations constructives et de confiance avec les grandes plateformes en ligne, notamment en promouvant l’adoption ou le renforcement de mesures ou de pratiques destinées à garantir un niveau de protection élevé des citoyens et des sociétés.</w:t>
      </w:r>
      <w:r w:rsidR="00FD4BBB" w:rsidRPr="00E60D17">
        <w:rPr>
          <w:rFonts w:ascii="Verdana" w:hAnsi="Verdana"/>
          <w:sz w:val="20"/>
          <w:szCs w:val="20"/>
        </w:rPr>
        <w:t xml:space="preserve"> </w:t>
      </w:r>
    </w:p>
    <w:p w14:paraId="5A525961" w14:textId="6A860DD8" w:rsidR="00E77A9F" w:rsidRPr="00E60D17" w:rsidRDefault="000E2BBD" w:rsidP="00DE6D5D">
      <w:pPr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>Adopté à l’occasion du</w:t>
      </w:r>
      <w:r w:rsidR="00392737" w:rsidRPr="00E60D17">
        <w:rPr>
          <w:rFonts w:ascii="Verdana" w:hAnsi="Verdana"/>
          <w:sz w:val="20"/>
          <w:szCs w:val="20"/>
        </w:rPr>
        <w:t xml:space="preserve"> premier forum annuel</w:t>
      </w:r>
      <w:r w:rsidRPr="00E60D17">
        <w:rPr>
          <w:rFonts w:ascii="Verdana" w:hAnsi="Verdana"/>
          <w:sz w:val="20"/>
          <w:szCs w:val="20"/>
        </w:rPr>
        <w:t xml:space="preserve"> entre régulateurs et grandes plateformes</w:t>
      </w:r>
      <w:r w:rsidR="00392737" w:rsidRPr="00E60D17">
        <w:rPr>
          <w:rFonts w:ascii="Verdana" w:hAnsi="Verdana"/>
          <w:sz w:val="20"/>
          <w:szCs w:val="20"/>
        </w:rPr>
        <w:t xml:space="preserve">, organisé à Dakar </w:t>
      </w:r>
      <w:proofErr w:type="gramStart"/>
      <w:r w:rsidR="00392737" w:rsidRPr="00E60D17">
        <w:rPr>
          <w:rFonts w:ascii="Verdana" w:hAnsi="Verdana"/>
          <w:sz w:val="20"/>
          <w:szCs w:val="20"/>
        </w:rPr>
        <w:t>les 1</w:t>
      </w:r>
      <w:r w:rsidR="00392737" w:rsidRPr="00E60D17">
        <w:rPr>
          <w:rFonts w:ascii="Verdana" w:hAnsi="Verdana"/>
          <w:sz w:val="20"/>
          <w:szCs w:val="20"/>
          <w:vertAlign w:val="superscript"/>
        </w:rPr>
        <w:t>er</w:t>
      </w:r>
      <w:proofErr w:type="gramEnd"/>
      <w:r w:rsidR="00392737" w:rsidRPr="00E60D17">
        <w:rPr>
          <w:rFonts w:ascii="Verdana" w:hAnsi="Verdana"/>
          <w:sz w:val="20"/>
          <w:szCs w:val="20"/>
        </w:rPr>
        <w:t xml:space="preserve"> et 2 décembre 2025, </w:t>
      </w:r>
      <w:r w:rsidRPr="00E60D17">
        <w:rPr>
          <w:rFonts w:ascii="Verdana" w:hAnsi="Verdana"/>
          <w:sz w:val="20"/>
          <w:szCs w:val="20"/>
        </w:rPr>
        <w:t>le</w:t>
      </w:r>
      <w:r w:rsidR="00F2100D" w:rsidRPr="00E60D17">
        <w:rPr>
          <w:rFonts w:ascii="Verdana" w:hAnsi="Verdana"/>
          <w:sz w:val="20"/>
          <w:szCs w:val="20"/>
        </w:rPr>
        <w:t xml:space="preserve"> </w:t>
      </w:r>
      <w:r w:rsidR="00373185" w:rsidRPr="00E60D17">
        <w:rPr>
          <w:rFonts w:ascii="Verdana" w:hAnsi="Verdana"/>
          <w:sz w:val="20"/>
          <w:szCs w:val="20"/>
        </w:rPr>
        <w:t xml:space="preserve">présent </w:t>
      </w:r>
      <w:r w:rsidR="001145FF" w:rsidRPr="00E60D17">
        <w:rPr>
          <w:rFonts w:ascii="Verdana" w:hAnsi="Verdana"/>
          <w:sz w:val="20"/>
          <w:szCs w:val="20"/>
        </w:rPr>
        <w:t xml:space="preserve">plan </w:t>
      </w:r>
      <w:r w:rsidR="00763EF1" w:rsidRPr="00E60D17">
        <w:rPr>
          <w:rFonts w:ascii="Verdana" w:hAnsi="Verdana"/>
          <w:sz w:val="20"/>
          <w:szCs w:val="20"/>
        </w:rPr>
        <w:t>d’action</w:t>
      </w:r>
      <w:r w:rsidR="00F15678" w:rsidRPr="00E60D17">
        <w:rPr>
          <w:rFonts w:ascii="Verdana" w:hAnsi="Verdana"/>
          <w:sz w:val="20"/>
          <w:szCs w:val="20"/>
        </w:rPr>
        <w:t xml:space="preserve"> </w:t>
      </w:r>
      <w:r w:rsidR="008B61E0" w:rsidRPr="00E60D17">
        <w:rPr>
          <w:rFonts w:ascii="Verdana" w:hAnsi="Verdana"/>
          <w:sz w:val="20"/>
          <w:szCs w:val="20"/>
        </w:rPr>
        <w:t xml:space="preserve">entend </w:t>
      </w:r>
      <w:r w:rsidR="00373185" w:rsidRPr="00E60D17">
        <w:rPr>
          <w:rFonts w:ascii="Verdana" w:hAnsi="Verdana"/>
          <w:sz w:val="20"/>
          <w:szCs w:val="20"/>
        </w:rPr>
        <w:t xml:space="preserve">constituer </w:t>
      </w:r>
      <w:r w:rsidR="008B61E0" w:rsidRPr="00E60D17">
        <w:rPr>
          <w:rFonts w:ascii="Verdana" w:hAnsi="Verdana"/>
          <w:sz w:val="20"/>
          <w:szCs w:val="20"/>
        </w:rPr>
        <w:t>une nouvelle étape du processus de dialogue</w:t>
      </w:r>
      <w:r w:rsidR="00373B68" w:rsidRPr="00E60D17">
        <w:rPr>
          <w:rFonts w:ascii="Verdana" w:hAnsi="Verdana"/>
          <w:sz w:val="20"/>
          <w:szCs w:val="20"/>
        </w:rPr>
        <w:t>,</w:t>
      </w:r>
      <w:r w:rsidR="00ED4784" w:rsidRPr="00E60D17">
        <w:rPr>
          <w:rFonts w:ascii="Verdana" w:hAnsi="Verdana"/>
          <w:sz w:val="20"/>
          <w:szCs w:val="20"/>
        </w:rPr>
        <w:t xml:space="preserve"> dont il décline les objectifs de manière opérationnelle. </w:t>
      </w:r>
    </w:p>
    <w:p w14:paraId="52C5A727" w14:textId="77777777" w:rsidR="002C5C02" w:rsidRPr="00E60D17" w:rsidRDefault="002C5C02" w:rsidP="002C5C02">
      <w:pPr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 xml:space="preserve">Le plan d’action s’articule autour de cinq axes principaux : </w:t>
      </w:r>
    </w:p>
    <w:p w14:paraId="03AA6D45" w14:textId="77777777" w:rsidR="002C5C02" w:rsidRPr="00E60D17" w:rsidRDefault="002C5C02" w:rsidP="002C5C02">
      <w:pPr>
        <w:pStyle w:val="Paragraphedeliste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>Approfondir et élargir le dialogue entre régulateurs et plateformes</w:t>
      </w:r>
    </w:p>
    <w:p w14:paraId="3C2EAB56" w14:textId="77777777" w:rsidR="002C5C02" w:rsidRPr="00E60D17" w:rsidRDefault="002C5C02" w:rsidP="002C5C02">
      <w:pPr>
        <w:pStyle w:val="Paragraphedeliste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lastRenderedPageBreak/>
        <w:t>Harmoniser les conditions du dialogue entre régulateurs et plateformes</w:t>
      </w:r>
    </w:p>
    <w:p w14:paraId="0D8098A5" w14:textId="511A7C0A" w:rsidR="002C5C02" w:rsidRPr="00E60D17" w:rsidRDefault="002C5C02" w:rsidP="0080396C">
      <w:pPr>
        <w:pStyle w:val="Paragraphedeliste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>Soutenir les relations entre les plateformes et la société civile</w:t>
      </w:r>
      <w:r w:rsidR="00A349E0" w:rsidRPr="00E60D17">
        <w:rPr>
          <w:rFonts w:ascii="Verdana" w:hAnsi="Verdana"/>
          <w:sz w:val="20"/>
          <w:szCs w:val="20"/>
        </w:rPr>
        <w:t>,</w:t>
      </w:r>
      <w:r w:rsidRPr="00E60D17">
        <w:rPr>
          <w:rFonts w:ascii="Verdana" w:hAnsi="Verdana"/>
          <w:sz w:val="20"/>
          <w:szCs w:val="20"/>
        </w:rPr>
        <w:t xml:space="preserve"> et encourager les actions d’éducation aux médias   </w:t>
      </w:r>
    </w:p>
    <w:p w14:paraId="196C9A68" w14:textId="77777777" w:rsidR="002C5C02" w:rsidRPr="00E60D17" w:rsidRDefault="002C5C02" w:rsidP="002C5C02">
      <w:pPr>
        <w:pStyle w:val="Paragraphedeliste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>Etablir une cartographie des usages numériques et des compétences des régulateurs</w:t>
      </w:r>
    </w:p>
    <w:p w14:paraId="766C3E8D" w14:textId="77777777" w:rsidR="002C5C02" w:rsidRPr="00E60D17" w:rsidRDefault="002C5C02" w:rsidP="002C5C02">
      <w:pPr>
        <w:pStyle w:val="Paragraphedeliste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>Soutenir les régulateurs dans leur mission vis-à-vis des plateformes numériques</w:t>
      </w:r>
    </w:p>
    <w:p w14:paraId="4BDB0AE0" w14:textId="77777777" w:rsidR="002062D4" w:rsidRPr="00E60D17" w:rsidRDefault="002062D4" w:rsidP="00163D89">
      <w:pPr>
        <w:jc w:val="center"/>
        <w:rPr>
          <w:rFonts w:ascii="Verdana" w:hAnsi="Verdana"/>
          <w:sz w:val="18"/>
          <w:szCs w:val="18"/>
        </w:rPr>
      </w:pPr>
    </w:p>
    <w:p w14:paraId="5AA061F2" w14:textId="15C10830" w:rsidR="00E77A9F" w:rsidRPr="00E60D17" w:rsidRDefault="002C27F3" w:rsidP="000A7B30">
      <w:pPr>
        <w:jc w:val="center"/>
        <w:rPr>
          <w:rFonts w:ascii="Verdana" w:hAnsi="Verdana"/>
          <w:sz w:val="18"/>
          <w:szCs w:val="18"/>
        </w:rPr>
      </w:pPr>
      <w:r w:rsidRPr="00E60D17">
        <w:rPr>
          <w:rFonts w:ascii="Verdana" w:hAnsi="Verdana"/>
          <w:sz w:val="18"/>
          <w:szCs w:val="18"/>
        </w:rPr>
        <w:t>****</w:t>
      </w:r>
    </w:p>
    <w:p w14:paraId="2963DE60" w14:textId="77777777" w:rsidR="000A7B30" w:rsidRPr="00E60D17" w:rsidRDefault="000A7B30" w:rsidP="000A7B30">
      <w:pPr>
        <w:jc w:val="center"/>
        <w:rPr>
          <w:rFonts w:ascii="Verdana" w:hAnsi="Verdana"/>
          <w:sz w:val="18"/>
          <w:szCs w:val="18"/>
        </w:rPr>
      </w:pPr>
    </w:p>
    <w:p w14:paraId="685E215C" w14:textId="5F59066D" w:rsidR="00DC44B1" w:rsidRPr="00E60D17" w:rsidRDefault="00646438" w:rsidP="00DC44B1">
      <w:pPr>
        <w:spacing w:before="240"/>
        <w:jc w:val="both"/>
        <w:rPr>
          <w:rFonts w:ascii="Verdana" w:hAnsi="Verdana"/>
          <w:b/>
          <w:bCs/>
          <w:color w:val="4472C4" w:themeColor="accent1"/>
          <w:sz w:val="20"/>
          <w:szCs w:val="20"/>
        </w:rPr>
      </w:pPr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Axe </w:t>
      </w:r>
      <w:r w:rsidR="008810E7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1</w:t>
      </w:r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 : </w:t>
      </w:r>
      <w:r w:rsidR="00373185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Approfondir et élargir le dialogue entre régulateurs et plateformes</w:t>
      </w:r>
    </w:p>
    <w:p w14:paraId="75586573" w14:textId="40B7FB00" w:rsidR="00E01C9D" w:rsidRPr="00E60D17" w:rsidRDefault="0082297B" w:rsidP="00DC44B1">
      <w:pPr>
        <w:spacing w:before="240"/>
        <w:jc w:val="both"/>
        <w:rPr>
          <w:rFonts w:ascii="Verdana" w:hAnsi="Verdana"/>
          <w:i/>
          <w:iCs/>
          <w:color w:val="4472C4" w:themeColor="accent1"/>
          <w:sz w:val="20"/>
          <w:szCs w:val="20"/>
        </w:rPr>
      </w:pP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La </w:t>
      </w:r>
      <w:r w:rsidR="00BA66B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conférence</w:t>
      </w: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d’Abidjan </w:t>
      </w:r>
      <w:r w:rsidR="00BA66B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a</w:t>
      </w: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posé les jalons </w:t>
      </w:r>
      <w:r w:rsidR="00F95B4E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du dialogue</w:t>
      </w:r>
      <w:r w:rsidR="00767018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entre</w:t>
      </w:r>
      <w:r w:rsidR="00F95B4E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régulateurs et </w:t>
      </w:r>
      <w:r w:rsidR="000F0B90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grandes </w:t>
      </w: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plateformes </w:t>
      </w:r>
      <w:r w:rsidR="000F0B90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sur le continent africain</w:t>
      </w: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et dans l’espace francophone</w:t>
      </w:r>
      <w:r w:rsidR="005D454E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, </w:t>
      </w:r>
      <w:r w:rsidR="001D7588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en </w:t>
      </w:r>
      <w:r w:rsidR="005D454E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particuli</w:t>
      </w:r>
      <w:r w:rsidR="001D7588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er</w:t>
      </w:r>
      <w:r w:rsidR="005D454E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="001D7588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par la</w:t>
      </w:r>
      <w:r w:rsidR="0045710E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création </w:t>
      </w:r>
      <w:r w:rsidR="005D454E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d’un forum annuel. Essentiel</w:t>
      </w:r>
      <w:r w:rsidR="00D30D49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à la bonne régulation du numérique, </w:t>
      </w:r>
      <w:r w:rsidR="0001086B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l’approfondissement</w:t>
      </w:r>
      <w:r w:rsidR="001D7588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et l’élargissement</w:t>
      </w:r>
      <w:r w:rsidR="0001086B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="00AF6C91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de ce dialogue</w:t>
      </w:r>
      <w:r w:rsidR="0001086B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="001D7588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est encouragé</w:t>
      </w:r>
      <w:r w:rsidR="0001086B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par l’Appel de Villers-Cotterêts</w:t>
      </w:r>
      <w:r w:rsidR="00D30D49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, </w:t>
      </w:r>
      <w:r w:rsidR="00C6255C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lequel </w:t>
      </w:r>
      <w:r w:rsidR="001D7588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porte sur </w:t>
      </w:r>
      <w:r w:rsidR="00C6255C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des domaines </w:t>
      </w:r>
      <w:r w:rsidR="00DA73B1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complémentaires.</w:t>
      </w:r>
    </w:p>
    <w:p w14:paraId="71321E54" w14:textId="6938A4B0" w:rsidR="00DC44B1" w:rsidRPr="00E60D17" w:rsidRDefault="00F47EB7" w:rsidP="004770D5">
      <w:pPr>
        <w:pStyle w:val="Paragraphedeliste"/>
        <w:numPr>
          <w:ilvl w:val="1"/>
          <w:numId w:val="27"/>
        </w:numPr>
        <w:spacing w:before="240" w:line="276" w:lineRule="auto"/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>Poursuivre l’a</w:t>
      </w:r>
      <w:r w:rsidR="00646438" w:rsidRPr="00E60D17">
        <w:rPr>
          <w:rFonts w:ascii="Verdana" w:hAnsi="Verdana"/>
          <w:sz w:val="20"/>
          <w:szCs w:val="20"/>
        </w:rPr>
        <w:t xml:space="preserve">nalyse </w:t>
      </w:r>
      <w:r w:rsidRPr="00E60D17">
        <w:rPr>
          <w:rFonts w:ascii="Verdana" w:hAnsi="Verdana"/>
          <w:sz w:val="20"/>
          <w:szCs w:val="20"/>
        </w:rPr>
        <w:t>critique d</w:t>
      </w:r>
      <w:r w:rsidR="00646438" w:rsidRPr="00E60D17">
        <w:rPr>
          <w:rFonts w:ascii="Verdana" w:hAnsi="Verdana"/>
          <w:sz w:val="20"/>
          <w:szCs w:val="20"/>
        </w:rPr>
        <w:t xml:space="preserve">es </w:t>
      </w:r>
      <w:r w:rsidRPr="00E60D17">
        <w:rPr>
          <w:rFonts w:ascii="Verdana" w:hAnsi="Verdana"/>
          <w:sz w:val="20"/>
          <w:szCs w:val="20"/>
        </w:rPr>
        <w:t xml:space="preserve">progrès réalisés dans les </w:t>
      </w:r>
      <w:r w:rsidR="00646438" w:rsidRPr="00E60D17">
        <w:rPr>
          <w:rFonts w:ascii="Verdana" w:hAnsi="Verdana"/>
          <w:b/>
          <w:bCs/>
          <w:sz w:val="20"/>
          <w:szCs w:val="20"/>
        </w:rPr>
        <w:t xml:space="preserve">moyens et </w:t>
      </w:r>
      <w:r w:rsidR="00ED52AA" w:rsidRPr="00E60D17">
        <w:rPr>
          <w:rFonts w:ascii="Verdana" w:hAnsi="Verdana"/>
          <w:b/>
          <w:bCs/>
          <w:sz w:val="20"/>
          <w:szCs w:val="20"/>
        </w:rPr>
        <w:t xml:space="preserve">les </w:t>
      </w:r>
      <w:r w:rsidR="00646438" w:rsidRPr="00E60D17">
        <w:rPr>
          <w:rFonts w:ascii="Verdana" w:hAnsi="Verdana"/>
          <w:b/>
          <w:bCs/>
          <w:sz w:val="20"/>
          <w:szCs w:val="20"/>
        </w:rPr>
        <w:t>pratiques mis en œuvre par les plateformes</w:t>
      </w:r>
      <w:r w:rsidR="00646438" w:rsidRPr="00E60D17">
        <w:rPr>
          <w:rFonts w:ascii="Verdana" w:hAnsi="Verdana"/>
          <w:sz w:val="20"/>
          <w:szCs w:val="20"/>
        </w:rPr>
        <w:t xml:space="preserve"> </w:t>
      </w:r>
      <w:r w:rsidR="00D74361" w:rsidRPr="00E60D17">
        <w:rPr>
          <w:rFonts w:ascii="Verdana" w:hAnsi="Verdana"/>
          <w:sz w:val="20"/>
          <w:szCs w:val="20"/>
        </w:rPr>
        <w:t>dans le</w:t>
      </w:r>
      <w:r w:rsidR="008533D7" w:rsidRPr="00E60D17">
        <w:rPr>
          <w:rFonts w:ascii="Verdana" w:hAnsi="Verdana"/>
          <w:sz w:val="20"/>
          <w:szCs w:val="20"/>
        </w:rPr>
        <w:t>s</w:t>
      </w:r>
      <w:r w:rsidR="00D74361" w:rsidRPr="00E60D17">
        <w:rPr>
          <w:rFonts w:ascii="Verdana" w:hAnsi="Verdana"/>
          <w:sz w:val="20"/>
          <w:szCs w:val="20"/>
        </w:rPr>
        <w:t xml:space="preserve"> domaines </w:t>
      </w:r>
      <w:r w:rsidR="005229CF" w:rsidRPr="00E60D17">
        <w:rPr>
          <w:rFonts w:ascii="Verdana" w:hAnsi="Verdana"/>
          <w:sz w:val="20"/>
          <w:szCs w:val="20"/>
        </w:rPr>
        <w:t xml:space="preserve">couverts par </w:t>
      </w:r>
      <w:r w:rsidR="00373185" w:rsidRPr="00E60D17">
        <w:rPr>
          <w:rFonts w:ascii="Verdana" w:hAnsi="Verdana"/>
          <w:sz w:val="20"/>
          <w:szCs w:val="20"/>
        </w:rPr>
        <w:t xml:space="preserve">le </w:t>
      </w:r>
      <w:r w:rsidR="008533D7" w:rsidRPr="00E60D17">
        <w:rPr>
          <w:rFonts w:ascii="Verdana" w:hAnsi="Verdana"/>
          <w:sz w:val="20"/>
          <w:szCs w:val="20"/>
        </w:rPr>
        <w:t>protocole d’Abidjan</w:t>
      </w:r>
      <w:r w:rsidR="0045710E" w:rsidRPr="00E60D17">
        <w:rPr>
          <w:rFonts w:ascii="Verdana" w:hAnsi="Verdana"/>
          <w:sz w:val="20"/>
          <w:szCs w:val="20"/>
        </w:rPr>
        <w:t xml:space="preserve"> dans le cadre du forum </w:t>
      </w:r>
      <w:r w:rsidR="000F0B90" w:rsidRPr="00E60D17">
        <w:rPr>
          <w:rFonts w:ascii="Verdana" w:hAnsi="Verdana"/>
          <w:sz w:val="20"/>
          <w:szCs w:val="20"/>
        </w:rPr>
        <w:t>annuel</w:t>
      </w:r>
    </w:p>
    <w:p w14:paraId="75F3C4E6" w14:textId="79DED96D" w:rsidR="008F27B1" w:rsidRPr="00E60D17" w:rsidRDefault="00373185" w:rsidP="004770D5">
      <w:pPr>
        <w:pStyle w:val="Paragraphedeliste"/>
        <w:numPr>
          <w:ilvl w:val="1"/>
          <w:numId w:val="27"/>
        </w:numPr>
        <w:spacing w:before="240" w:line="276" w:lineRule="auto"/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 xml:space="preserve">Etendre </w:t>
      </w:r>
      <w:r w:rsidR="001B0967" w:rsidRPr="00E60D17">
        <w:rPr>
          <w:rFonts w:ascii="Verdana" w:hAnsi="Verdana"/>
          <w:sz w:val="20"/>
          <w:szCs w:val="20"/>
        </w:rPr>
        <w:t xml:space="preserve">le dialogue </w:t>
      </w:r>
      <w:r w:rsidR="000F57E9" w:rsidRPr="00E60D17">
        <w:rPr>
          <w:rFonts w:ascii="Verdana" w:hAnsi="Verdana"/>
          <w:sz w:val="20"/>
          <w:szCs w:val="20"/>
        </w:rPr>
        <w:t xml:space="preserve">entre régulateurs et plateformes </w:t>
      </w:r>
      <w:r w:rsidR="001B0967" w:rsidRPr="00E60D17">
        <w:rPr>
          <w:rFonts w:ascii="Verdana" w:hAnsi="Verdana"/>
          <w:sz w:val="20"/>
          <w:szCs w:val="20"/>
        </w:rPr>
        <w:t>au</w:t>
      </w:r>
      <w:r w:rsidR="009D2C2C" w:rsidRPr="00E60D17">
        <w:rPr>
          <w:rFonts w:ascii="Verdana" w:hAnsi="Verdana"/>
          <w:sz w:val="20"/>
          <w:szCs w:val="20"/>
        </w:rPr>
        <w:t>x</w:t>
      </w:r>
      <w:r w:rsidR="001335E8" w:rsidRPr="00E60D17">
        <w:rPr>
          <w:rFonts w:ascii="Verdana" w:hAnsi="Verdana"/>
          <w:sz w:val="20"/>
          <w:szCs w:val="20"/>
        </w:rPr>
        <w:t xml:space="preserve"> </w:t>
      </w:r>
      <w:r w:rsidR="00E1182E" w:rsidRPr="00E60D17">
        <w:rPr>
          <w:rFonts w:ascii="Verdana" w:hAnsi="Verdana"/>
          <w:b/>
          <w:bCs/>
          <w:sz w:val="20"/>
          <w:szCs w:val="20"/>
        </w:rPr>
        <w:t>domaines</w:t>
      </w:r>
      <w:r w:rsidRPr="00E60D17">
        <w:rPr>
          <w:rFonts w:ascii="Verdana" w:hAnsi="Verdana"/>
          <w:b/>
          <w:bCs/>
          <w:sz w:val="20"/>
          <w:szCs w:val="20"/>
        </w:rPr>
        <w:t xml:space="preserve"> </w:t>
      </w:r>
      <w:r w:rsidR="00E77D3C" w:rsidRPr="00E60D17">
        <w:rPr>
          <w:rFonts w:ascii="Verdana" w:hAnsi="Verdana"/>
          <w:b/>
          <w:bCs/>
          <w:sz w:val="20"/>
          <w:szCs w:val="20"/>
        </w:rPr>
        <w:t>mentionnés</w:t>
      </w:r>
      <w:r w:rsidRPr="00E60D17">
        <w:rPr>
          <w:rFonts w:ascii="Verdana" w:hAnsi="Verdana"/>
          <w:b/>
          <w:bCs/>
          <w:sz w:val="20"/>
          <w:szCs w:val="20"/>
        </w:rPr>
        <w:t xml:space="preserve"> dans l’Appel de Villers-Cotterêts</w:t>
      </w:r>
      <w:r w:rsidRPr="00E60D17">
        <w:rPr>
          <w:rFonts w:ascii="Verdana" w:hAnsi="Verdana"/>
          <w:sz w:val="20"/>
          <w:szCs w:val="20"/>
        </w:rPr>
        <w:t>, notamment en matière d’</w:t>
      </w:r>
      <w:r w:rsidR="001335E8" w:rsidRPr="00E60D17">
        <w:rPr>
          <w:rFonts w:ascii="Verdana" w:hAnsi="Verdana"/>
          <w:sz w:val="20"/>
          <w:szCs w:val="20"/>
        </w:rPr>
        <w:t xml:space="preserve">intégrité de l’information, </w:t>
      </w:r>
      <w:r w:rsidR="00F02139" w:rsidRPr="00E60D17">
        <w:rPr>
          <w:rFonts w:ascii="Verdana" w:hAnsi="Verdana"/>
          <w:sz w:val="20"/>
          <w:szCs w:val="20"/>
        </w:rPr>
        <w:t>d</w:t>
      </w:r>
      <w:r w:rsidR="001335E8" w:rsidRPr="00E60D17">
        <w:rPr>
          <w:rFonts w:ascii="Verdana" w:hAnsi="Verdana"/>
          <w:sz w:val="20"/>
          <w:szCs w:val="20"/>
        </w:rPr>
        <w:t>’intelligence artificielle</w:t>
      </w:r>
      <w:r w:rsidR="00FF6AC8" w:rsidRPr="00E60D17">
        <w:rPr>
          <w:rFonts w:ascii="Verdana" w:hAnsi="Verdana"/>
          <w:sz w:val="20"/>
          <w:szCs w:val="20"/>
        </w:rPr>
        <w:t>, de diversité culturelle</w:t>
      </w:r>
      <w:r w:rsidR="001D7588" w:rsidRPr="00E60D17">
        <w:rPr>
          <w:rFonts w:ascii="Verdana" w:hAnsi="Verdana"/>
          <w:sz w:val="20"/>
          <w:szCs w:val="20"/>
        </w:rPr>
        <w:t xml:space="preserve"> et linguistique</w:t>
      </w:r>
      <w:r w:rsidR="00E1182E" w:rsidRPr="00E60D17">
        <w:rPr>
          <w:rFonts w:ascii="Verdana" w:hAnsi="Verdana"/>
          <w:sz w:val="20"/>
          <w:szCs w:val="20"/>
        </w:rPr>
        <w:t xml:space="preserve"> et </w:t>
      </w:r>
      <w:r w:rsidR="00FA3863" w:rsidRPr="00E60D17">
        <w:rPr>
          <w:rFonts w:ascii="Verdana" w:hAnsi="Verdana"/>
          <w:sz w:val="20"/>
          <w:szCs w:val="20"/>
        </w:rPr>
        <w:t>de</w:t>
      </w:r>
      <w:r w:rsidR="00FF6AC8" w:rsidRPr="00E60D17">
        <w:rPr>
          <w:rFonts w:ascii="Verdana" w:hAnsi="Verdana"/>
          <w:sz w:val="20"/>
          <w:szCs w:val="20"/>
        </w:rPr>
        <w:t xml:space="preserve"> protection de</w:t>
      </w:r>
      <w:r w:rsidR="00FA3863" w:rsidRPr="00E60D17">
        <w:rPr>
          <w:rFonts w:ascii="Verdana" w:hAnsi="Verdana"/>
          <w:sz w:val="20"/>
          <w:szCs w:val="20"/>
        </w:rPr>
        <w:t xml:space="preserve"> la création</w:t>
      </w:r>
      <w:r w:rsidR="001335E8" w:rsidRPr="00E60D17">
        <w:rPr>
          <w:rFonts w:ascii="Verdana" w:hAnsi="Verdana"/>
          <w:sz w:val="20"/>
          <w:szCs w:val="20"/>
        </w:rPr>
        <w:t xml:space="preserve"> </w:t>
      </w:r>
    </w:p>
    <w:p w14:paraId="507DC49E" w14:textId="77777777" w:rsidR="006D1DFF" w:rsidRPr="00E60D17" w:rsidRDefault="006D1DFF" w:rsidP="006D1DFF">
      <w:pPr>
        <w:pStyle w:val="Paragraphedeliste"/>
        <w:spacing w:before="240" w:line="276" w:lineRule="auto"/>
        <w:jc w:val="both"/>
        <w:rPr>
          <w:rFonts w:ascii="Verdana" w:hAnsi="Verdana"/>
          <w:sz w:val="20"/>
          <w:szCs w:val="20"/>
        </w:rPr>
      </w:pPr>
    </w:p>
    <w:p w14:paraId="5467A029" w14:textId="3D12F2DE" w:rsidR="00024C40" w:rsidRPr="00E60D17" w:rsidRDefault="003C6C18" w:rsidP="00CF6D59">
      <w:pPr>
        <w:jc w:val="both"/>
        <w:rPr>
          <w:rFonts w:ascii="Verdana" w:hAnsi="Verdana"/>
          <w:b/>
          <w:bCs/>
          <w:color w:val="4472C4" w:themeColor="accent1"/>
          <w:sz w:val="20"/>
          <w:szCs w:val="20"/>
        </w:rPr>
      </w:pPr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Axe </w:t>
      </w:r>
      <w:r w:rsidR="00903CFB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2</w:t>
      </w:r>
      <w:r w:rsidR="00250817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 : </w:t>
      </w:r>
      <w:r w:rsidR="00FF6AC8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Harmoniser les conditions du</w:t>
      </w:r>
      <w:r w:rsidR="00024C40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dialogue entre régulateur</w:t>
      </w:r>
      <w:r w:rsidR="00C34E06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s</w:t>
      </w:r>
      <w:r w:rsidR="00024C40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et plateforme</w:t>
      </w:r>
      <w:r w:rsidR="00C34E06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s</w:t>
      </w:r>
    </w:p>
    <w:p w14:paraId="39CD879F" w14:textId="5F929C6F" w:rsidR="008533D7" w:rsidRPr="00E60D17" w:rsidRDefault="00A15B98" w:rsidP="00CF6D59">
      <w:pPr>
        <w:jc w:val="both"/>
        <w:rPr>
          <w:rFonts w:ascii="Verdana" w:hAnsi="Verdana"/>
          <w:i/>
          <w:iCs/>
          <w:color w:val="4472C4" w:themeColor="accent1"/>
          <w:sz w:val="20"/>
          <w:szCs w:val="20"/>
        </w:rPr>
      </w:pP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L</w:t>
      </w:r>
      <w:r w:rsidR="00CA592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a </w:t>
      </w:r>
      <w:r w:rsidR="001D7588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qualité </w:t>
      </w:r>
      <w:r w:rsidR="00CA592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du </w:t>
      </w:r>
      <w:r w:rsidR="008013A7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dialogue</w:t>
      </w:r>
      <w:r w:rsidR="00EE0A03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="00DC44B1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entre régulateurs et</w:t>
      </w:r>
      <w:r w:rsidR="007E5AFE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plateformes </w:t>
      </w:r>
      <w:r w:rsidR="002D3599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pose</w:t>
      </w:r>
      <w:r w:rsidR="00EE0A03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la question des </w:t>
      </w:r>
      <w:r w:rsidR="007E5AFE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modalités et</w:t>
      </w:r>
      <w:r w:rsidR="00FA6FF8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des</w:t>
      </w:r>
      <w:r w:rsidR="007E5AFE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processus</w:t>
      </w:r>
      <w:r w:rsidR="00EE0A03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de contac</w:t>
      </w:r>
      <w:r w:rsidR="007E5AFE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t, </w:t>
      </w:r>
      <w:r w:rsidR="00EE0A03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alors que les </w:t>
      </w:r>
      <w:r w:rsidR="00225322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membres des </w:t>
      </w:r>
      <w:r w:rsidR="00EE0A03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réseaux </w:t>
      </w:r>
      <w:r w:rsidR="00CE2488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de régulateurs </w:t>
      </w:r>
      <w:r w:rsidR="00225322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sont nombreux</w:t>
      </w:r>
      <w:r w:rsidR="00EE0A03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et le</w:t>
      </w:r>
      <w:r w:rsidR="003A3291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ur</w:t>
      </w:r>
      <w:r w:rsidR="00EE0A03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s compétences et sujets d’intérêt variés. </w:t>
      </w:r>
      <w:r w:rsidR="00CA592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="008533D7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</w:p>
    <w:p w14:paraId="657D9509" w14:textId="77777777" w:rsidR="00140F18" w:rsidRPr="00E60D17" w:rsidRDefault="00140F18" w:rsidP="00140F18">
      <w:pPr>
        <w:pStyle w:val="Paragraphedeliste"/>
        <w:numPr>
          <w:ilvl w:val="1"/>
          <w:numId w:val="1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 xml:space="preserve">Mettre en place un </w:t>
      </w:r>
      <w:r w:rsidRPr="00E60D17">
        <w:rPr>
          <w:rFonts w:ascii="Verdana" w:hAnsi="Verdana"/>
          <w:b/>
          <w:bCs/>
          <w:sz w:val="20"/>
          <w:szCs w:val="20"/>
        </w:rPr>
        <w:t>comité de contact permanent</w:t>
      </w:r>
      <w:r w:rsidRPr="00E60D17">
        <w:rPr>
          <w:rFonts w:ascii="Verdana" w:hAnsi="Verdana"/>
          <w:sz w:val="20"/>
          <w:szCs w:val="20"/>
        </w:rPr>
        <w:t xml:space="preserve"> entre régulateurs et plateformes</w:t>
      </w:r>
    </w:p>
    <w:p w14:paraId="6D9951E3" w14:textId="77777777" w:rsidR="0080396C" w:rsidRPr="00E60D17" w:rsidRDefault="007B7745" w:rsidP="004770D5">
      <w:pPr>
        <w:pStyle w:val="Paragraphedeliste"/>
        <w:numPr>
          <w:ilvl w:val="1"/>
          <w:numId w:val="1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 xml:space="preserve">Définir les processus d’échange entre régulateurs et plateformes dans un </w:t>
      </w:r>
      <w:r w:rsidRPr="00E60D17">
        <w:rPr>
          <w:rFonts w:ascii="Verdana" w:hAnsi="Verdana"/>
          <w:b/>
          <w:bCs/>
          <w:sz w:val="20"/>
          <w:szCs w:val="20"/>
        </w:rPr>
        <w:t>référentiel commun</w:t>
      </w:r>
    </w:p>
    <w:p w14:paraId="2A6235A5" w14:textId="77777777" w:rsidR="006D1DFF" w:rsidRPr="00E60D17" w:rsidRDefault="006D1DFF" w:rsidP="006D1DFF">
      <w:pPr>
        <w:pStyle w:val="Paragraphedeliste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2F281B4" w14:textId="1AFBFCF3" w:rsidR="00360800" w:rsidRPr="00E60D17" w:rsidRDefault="00360800" w:rsidP="00D916ED">
      <w:pPr>
        <w:jc w:val="both"/>
        <w:rPr>
          <w:rFonts w:ascii="Verdana" w:hAnsi="Verdana"/>
          <w:b/>
          <w:bCs/>
          <w:color w:val="4472C4" w:themeColor="accent1"/>
          <w:sz w:val="20"/>
          <w:szCs w:val="20"/>
        </w:rPr>
      </w:pPr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Axe </w:t>
      </w:r>
      <w:r w:rsidR="00A85F1D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3</w:t>
      </w:r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 : </w:t>
      </w:r>
      <w:r w:rsidR="005229CF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Soutenir l</w:t>
      </w:r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es </w:t>
      </w:r>
      <w:r w:rsidR="003C6E8B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relations</w:t>
      </w:r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entre les plateformes et la société civile</w:t>
      </w:r>
      <w:r w:rsidR="00ED52AA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,</w:t>
      </w:r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et </w:t>
      </w:r>
      <w:r w:rsidR="003C6E8B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encourager </w:t>
      </w:r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les actions d’éducation aux médias</w:t>
      </w:r>
      <w:r w:rsidR="008168EA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et à l’information</w:t>
      </w:r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  </w:t>
      </w:r>
    </w:p>
    <w:p w14:paraId="263DB385" w14:textId="5023C8FF" w:rsidR="003A206A" w:rsidRDefault="003A206A" w:rsidP="00360800">
      <w:pPr>
        <w:spacing w:before="240"/>
        <w:jc w:val="both"/>
        <w:rPr>
          <w:rFonts w:ascii="Verdana" w:hAnsi="Verdana"/>
          <w:i/>
          <w:iCs/>
          <w:color w:val="4472C4" w:themeColor="accent1"/>
          <w:sz w:val="20"/>
          <w:szCs w:val="20"/>
        </w:rPr>
      </w:pP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Le renforcement du dialogue entre régulateurs et grandes plateformes </w:t>
      </w:r>
      <w:r w:rsidR="00787137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est</w:t>
      </w: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="00CE1DF7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envisagé comme </w:t>
      </w:r>
      <w:r w:rsidR="001968F8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un </w:t>
      </w: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levier </w:t>
      </w:r>
      <w:r w:rsidR="00AC1295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d</w:t>
      </w:r>
      <w:r w:rsidR="00654899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ans</w:t>
      </w:r>
      <w:r w:rsidR="00AC1295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l</w:t>
      </w:r>
      <w:r w:rsidR="00FC4930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a promotion</w:t>
      </w: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d’un système</w:t>
      </w:r>
      <w:r w:rsidR="00FC4930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de régulation</w:t>
      </w: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="001968F8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pluri-acteur</w:t>
      </w:r>
      <w:r w:rsidR="00F47EB7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s</w:t>
      </w:r>
      <w:r w:rsidR="00787137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="00FC11E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pleinement ancré dans la société,</w:t>
      </w:r>
      <w:r w:rsidR="001968F8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="00AC1295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porteur </w:t>
      </w: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de réflexion</w:t>
      </w:r>
      <w:r w:rsidR="00467EA6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s</w:t>
      </w: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sur les transformations sociétales </w:t>
      </w:r>
      <w:r w:rsidR="00CE63E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résultant des</w:t>
      </w: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évolutions numériques</w:t>
      </w:r>
      <w:r w:rsidR="00D03FA1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="008374C6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et </w:t>
      </w:r>
      <w:r w:rsidR="00FC11E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favorisant les </w:t>
      </w:r>
      <w:r w:rsidR="008374C6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actions concourant</w:t>
      </w:r>
      <w:r w:rsidR="00AC1295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="004856F7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à une </w:t>
      </w:r>
      <w:r w:rsidR="001E05CB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citoyenneté numérique sur le continent africain et dans l’espace francophone</w:t>
      </w:r>
      <w:r w:rsidR="004856F7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.</w:t>
      </w:r>
    </w:p>
    <w:p w14:paraId="4BEC9166" w14:textId="77777777" w:rsidR="00B70FE8" w:rsidRPr="00E60D17" w:rsidRDefault="00B70FE8" w:rsidP="00360800">
      <w:pPr>
        <w:spacing w:before="240"/>
        <w:jc w:val="both"/>
        <w:rPr>
          <w:rFonts w:ascii="Verdana" w:hAnsi="Verdana"/>
          <w:i/>
          <w:iCs/>
          <w:color w:val="4472C4" w:themeColor="accent1"/>
          <w:sz w:val="20"/>
          <w:szCs w:val="20"/>
        </w:rPr>
      </w:pPr>
    </w:p>
    <w:p w14:paraId="7B56C833" w14:textId="0B1F39B3" w:rsidR="00A85F1D" w:rsidRPr="00E60D17" w:rsidRDefault="00140F18" w:rsidP="004770D5">
      <w:pPr>
        <w:pStyle w:val="Paragraphedeliste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lastRenderedPageBreak/>
        <w:t>Encourager</w:t>
      </w:r>
      <w:r w:rsidR="00FC4930" w:rsidRPr="00E60D17">
        <w:rPr>
          <w:rFonts w:ascii="Verdana" w:hAnsi="Verdana"/>
          <w:sz w:val="20"/>
          <w:szCs w:val="20"/>
        </w:rPr>
        <w:t xml:space="preserve"> le</w:t>
      </w:r>
      <w:r w:rsidR="00360800" w:rsidRPr="00E60D17">
        <w:rPr>
          <w:rFonts w:ascii="Verdana" w:hAnsi="Verdana"/>
          <w:sz w:val="20"/>
          <w:szCs w:val="20"/>
        </w:rPr>
        <w:t xml:space="preserve"> </w:t>
      </w:r>
      <w:r w:rsidR="00360800" w:rsidRPr="00E60D17">
        <w:rPr>
          <w:rFonts w:ascii="Verdana" w:hAnsi="Verdana"/>
          <w:b/>
          <w:bCs/>
          <w:sz w:val="20"/>
          <w:szCs w:val="20"/>
        </w:rPr>
        <w:t xml:space="preserve">lien </w:t>
      </w:r>
      <w:r w:rsidR="00FC4930" w:rsidRPr="00E60D17">
        <w:rPr>
          <w:rFonts w:ascii="Verdana" w:hAnsi="Verdana"/>
          <w:b/>
          <w:bCs/>
          <w:sz w:val="20"/>
          <w:szCs w:val="20"/>
        </w:rPr>
        <w:t>entre l</w:t>
      </w:r>
      <w:r w:rsidR="00360800" w:rsidRPr="00E60D17">
        <w:rPr>
          <w:rFonts w:ascii="Verdana" w:hAnsi="Verdana"/>
          <w:b/>
          <w:bCs/>
          <w:sz w:val="20"/>
          <w:szCs w:val="20"/>
        </w:rPr>
        <w:t xml:space="preserve">es plateformes </w:t>
      </w:r>
      <w:r w:rsidR="00FC4930" w:rsidRPr="00E60D17">
        <w:rPr>
          <w:rFonts w:ascii="Verdana" w:hAnsi="Verdana"/>
          <w:b/>
          <w:bCs/>
          <w:sz w:val="20"/>
          <w:szCs w:val="20"/>
        </w:rPr>
        <w:t>et l</w:t>
      </w:r>
      <w:r w:rsidR="00360800" w:rsidRPr="00E60D17">
        <w:rPr>
          <w:rFonts w:ascii="Verdana" w:hAnsi="Verdana"/>
          <w:b/>
          <w:bCs/>
          <w:sz w:val="20"/>
          <w:szCs w:val="20"/>
        </w:rPr>
        <w:t>es organisations de la société civile</w:t>
      </w:r>
      <w:r w:rsidR="00ED52AA" w:rsidRPr="00E60D17">
        <w:rPr>
          <w:rFonts w:ascii="Verdana" w:hAnsi="Verdana"/>
          <w:b/>
          <w:bCs/>
          <w:sz w:val="20"/>
          <w:szCs w:val="20"/>
        </w:rPr>
        <w:t xml:space="preserve"> locale</w:t>
      </w:r>
      <w:r w:rsidR="00E34B2C" w:rsidRPr="00E60D17">
        <w:rPr>
          <w:rFonts w:ascii="Verdana" w:hAnsi="Verdana"/>
          <w:b/>
          <w:bCs/>
          <w:sz w:val="20"/>
          <w:szCs w:val="20"/>
        </w:rPr>
        <w:t>s</w:t>
      </w:r>
      <w:r w:rsidR="00360800" w:rsidRPr="00E60D17">
        <w:rPr>
          <w:rFonts w:ascii="Verdana" w:hAnsi="Verdana"/>
          <w:sz w:val="20"/>
          <w:szCs w:val="20"/>
        </w:rPr>
        <w:t xml:space="preserve">, notamment expertes en matière de vérification des faits </w:t>
      </w:r>
    </w:p>
    <w:p w14:paraId="6DF9EF34" w14:textId="1E3E9E85" w:rsidR="0080396C" w:rsidRPr="00E60D17" w:rsidRDefault="0080396C" w:rsidP="004770D5">
      <w:pPr>
        <w:pStyle w:val="Paragraphedeliste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 xml:space="preserve">S’assurer que les </w:t>
      </w:r>
      <w:r w:rsidRPr="00E60D17">
        <w:rPr>
          <w:rFonts w:ascii="Verdana" w:hAnsi="Verdana"/>
          <w:b/>
          <w:bCs/>
          <w:sz w:val="20"/>
          <w:szCs w:val="20"/>
        </w:rPr>
        <w:t>actions d’éducation aux médias</w:t>
      </w:r>
      <w:r w:rsidRPr="00E60D17">
        <w:rPr>
          <w:rFonts w:ascii="Verdana" w:hAnsi="Verdana"/>
          <w:sz w:val="20"/>
          <w:szCs w:val="20"/>
        </w:rPr>
        <w:t xml:space="preserve"> </w:t>
      </w:r>
      <w:r w:rsidR="008168EA" w:rsidRPr="00E60D17">
        <w:rPr>
          <w:rFonts w:ascii="Verdana" w:hAnsi="Verdana"/>
          <w:sz w:val="20"/>
          <w:szCs w:val="20"/>
        </w:rPr>
        <w:t xml:space="preserve">et à l’information </w:t>
      </w:r>
      <w:r w:rsidRPr="00E60D17">
        <w:rPr>
          <w:rFonts w:ascii="Verdana" w:hAnsi="Verdana"/>
          <w:sz w:val="20"/>
          <w:szCs w:val="20"/>
        </w:rPr>
        <w:t xml:space="preserve">puissent bénéficier à l’ensemble des </w:t>
      </w:r>
      <w:r w:rsidR="00FC4930" w:rsidRPr="00E60D17">
        <w:rPr>
          <w:rFonts w:ascii="Verdana" w:hAnsi="Verdana"/>
          <w:sz w:val="20"/>
          <w:szCs w:val="20"/>
        </w:rPr>
        <w:t>E</w:t>
      </w:r>
      <w:r w:rsidRPr="00E60D17">
        <w:rPr>
          <w:rFonts w:ascii="Verdana" w:hAnsi="Verdana"/>
          <w:sz w:val="20"/>
          <w:szCs w:val="20"/>
        </w:rPr>
        <w:t>tats d</w:t>
      </w:r>
      <w:r w:rsidR="00FC4930" w:rsidRPr="00E60D17">
        <w:rPr>
          <w:rFonts w:ascii="Verdana" w:hAnsi="Verdana"/>
          <w:sz w:val="20"/>
          <w:szCs w:val="20"/>
        </w:rPr>
        <w:t>ont sont issu</w:t>
      </w:r>
      <w:r w:rsidRPr="00E60D17">
        <w:rPr>
          <w:rFonts w:ascii="Verdana" w:hAnsi="Verdana"/>
          <w:sz w:val="20"/>
          <w:szCs w:val="20"/>
        </w:rPr>
        <w:t xml:space="preserve">s </w:t>
      </w:r>
      <w:r w:rsidR="002D3599" w:rsidRPr="00E60D17">
        <w:rPr>
          <w:rFonts w:ascii="Verdana" w:hAnsi="Verdana"/>
          <w:sz w:val="20"/>
          <w:szCs w:val="20"/>
        </w:rPr>
        <w:t xml:space="preserve">les </w:t>
      </w:r>
      <w:r w:rsidRPr="00E60D17">
        <w:rPr>
          <w:rFonts w:ascii="Verdana" w:hAnsi="Verdana"/>
          <w:sz w:val="20"/>
          <w:szCs w:val="20"/>
        </w:rPr>
        <w:t>membres du REFRAM et du RIARC</w:t>
      </w:r>
    </w:p>
    <w:p w14:paraId="4D249F44" w14:textId="2711B0F0" w:rsidR="000268C7" w:rsidRPr="00E60D17" w:rsidRDefault="003C6C18" w:rsidP="009F73BD">
      <w:pPr>
        <w:spacing w:before="240"/>
        <w:jc w:val="both"/>
        <w:rPr>
          <w:rFonts w:ascii="Verdana" w:hAnsi="Verdana"/>
          <w:b/>
          <w:bCs/>
          <w:color w:val="4472C4" w:themeColor="accent1"/>
          <w:sz w:val="20"/>
          <w:szCs w:val="20"/>
        </w:rPr>
      </w:pPr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Axe </w:t>
      </w:r>
      <w:r w:rsidR="002F4BDC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4</w:t>
      </w:r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 : </w:t>
      </w:r>
      <w:r w:rsidR="00DE6D5D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Etablir une cartographie des </w:t>
      </w:r>
      <w:r w:rsidR="00961064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usages </w:t>
      </w:r>
      <w:r w:rsidR="00453119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numériques </w:t>
      </w:r>
      <w:r w:rsidR="00961064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et des </w:t>
      </w:r>
      <w:r w:rsidR="00DE6D5D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compétences des régulateurs</w:t>
      </w:r>
    </w:p>
    <w:p w14:paraId="178ED7FB" w14:textId="66563E73" w:rsidR="0023262B" w:rsidRPr="00E60D17" w:rsidRDefault="00104BEC" w:rsidP="00F15678">
      <w:pPr>
        <w:spacing w:before="240"/>
        <w:jc w:val="both"/>
        <w:rPr>
          <w:rFonts w:ascii="Verdana" w:hAnsi="Verdana"/>
          <w:i/>
          <w:iCs/>
          <w:color w:val="4472C4" w:themeColor="accent1"/>
          <w:sz w:val="20"/>
          <w:szCs w:val="20"/>
        </w:rPr>
      </w:pP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La</w:t>
      </w:r>
      <w:r w:rsidR="00A26A63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connaissance </w:t>
      </w:r>
      <w:r w:rsidR="00D12A20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de l’é</w:t>
      </w:r>
      <w:r w:rsidR="001B1351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volution des</w:t>
      </w:r>
      <w:r w:rsidR="00A26A63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usages</w:t>
      </w:r>
      <w:r w:rsidR="001B1351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numériques et des modèles </w:t>
      </w:r>
      <w:r w:rsidR="003454BD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économiques des médias</w:t>
      </w:r>
      <w:r w:rsidR="00C43B72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="001B1351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concourt à la </w:t>
      </w:r>
      <w:r w:rsidR="00B42E32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précision des orientations stratégiques </w:t>
      </w:r>
      <w:r w:rsidR="0098730E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de la régulation</w:t>
      </w:r>
      <w:r w:rsidR="00F95B4E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pluri-acteurs</w:t>
      </w:r>
      <w:r w:rsidR="006D1DFF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, tandis que la</w:t>
      </w: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connaissance des cadres de régulation </w:t>
      </w:r>
      <w:r w:rsidR="00436BD0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nationaux </w:t>
      </w: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et des compétences des régulateurs</w:t>
      </w:r>
      <w:r w:rsidR="00767B19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, sans appréciation qualitative,</w:t>
      </w: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="00842D0D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nourrit</w:t>
      </w:r>
      <w:r w:rsidR="00B715D2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="00241B8E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une réflexion comparative</w:t>
      </w:r>
      <w:r w:rsidR="00B715D2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et</w:t>
      </w:r>
      <w:r w:rsidR="00842D0D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soutient</w:t>
      </w:r>
      <w:r w:rsidR="00B715D2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l’</w:t>
      </w:r>
      <w:r w:rsidR="00A312F6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harmonisation d</w:t>
      </w:r>
      <w:r w:rsidR="00B715D2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es processus de</w:t>
      </w:r>
      <w:r w:rsidR="00A312F6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dialogue entre régulateurs</w:t>
      </w:r>
      <w:r w:rsidR="00B715D2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et plateformes</w:t>
      </w:r>
      <w:r w:rsidR="00A312F6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. </w:t>
      </w:r>
      <w:r w:rsidR="00717C4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La cartographie s’appuiera </w:t>
      </w:r>
      <w:r w:rsidR="0069461C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autant que possible </w:t>
      </w:r>
      <w:r w:rsidR="00717C4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sur </w:t>
      </w:r>
      <w:r w:rsidR="0069461C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d</w:t>
      </w:r>
      <w:r w:rsidR="00717C4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es travaux déjà réalisés sur les usages numériques et les cadres de régulation et les compétences des régulateurs. </w:t>
      </w:r>
    </w:p>
    <w:p w14:paraId="0ACBCB46" w14:textId="32E585B8" w:rsidR="00961064" w:rsidRPr="00E60D17" w:rsidRDefault="004C4718" w:rsidP="004770D5">
      <w:pPr>
        <w:pStyle w:val="Paragraphedeliste"/>
        <w:numPr>
          <w:ilvl w:val="1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>Mandater</w:t>
      </w:r>
      <w:r w:rsidR="00961064" w:rsidRPr="00E60D17">
        <w:rPr>
          <w:rFonts w:ascii="Verdana" w:hAnsi="Verdana"/>
          <w:sz w:val="20"/>
          <w:szCs w:val="20"/>
        </w:rPr>
        <w:t xml:space="preserve"> une </w:t>
      </w:r>
      <w:r w:rsidR="00961064" w:rsidRPr="00E60D17">
        <w:rPr>
          <w:rFonts w:ascii="Verdana" w:hAnsi="Verdana"/>
          <w:b/>
          <w:bCs/>
          <w:sz w:val="20"/>
          <w:szCs w:val="20"/>
        </w:rPr>
        <w:t>étude externe sur l’évolution des usages numériques et</w:t>
      </w:r>
      <w:r w:rsidR="0069461C" w:rsidRPr="00E60D17">
        <w:rPr>
          <w:rFonts w:ascii="Verdana" w:hAnsi="Verdana"/>
          <w:b/>
          <w:bCs/>
          <w:sz w:val="20"/>
          <w:szCs w:val="20"/>
        </w:rPr>
        <w:t>/ou</w:t>
      </w:r>
      <w:r w:rsidR="00961064" w:rsidRPr="00E60D17">
        <w:rPr>
          <w:rFonts w:ascii="Verdana" w:hAnsi="Verdana"/>
          <w:b/>
          <w:bCs/>
          <w:sz w:val="20"/>
          <w:szCs w:val="20"/>
        </w:rPr>
        <w:t xml:space="preserve"> des modèles économiques </w:t>
      </w:r>
      <w:r w:rsidR="003454BD" w:rsidRPr="00E60D17">
        <w:rPr>
          <w:rFonts w:ascii="Verdana" w:hAnsi="Verdana"/>
          <w:b/>
          <w:bCs/>
          <w:sz w:val="20"/>
          <w:szCs w:val="20"/>
        </w:rPr>
        <w:t>des médias</w:t>
      </w:r>
      <w:r w:rsidR="00FF4630" w:rsidRPr="00E60D17">
        <w:rPr>
          <w:rFonts w:ascii="Verdana" w:hAnsi="Verdana"/>
          <w:b/>
          <w:bCs/>
          <w:sz w:val="20"/>
          <w:szCs w:val="20"/>
        </w:rPr>
        <w:t xml:space="preserve"> </w:t>
      </w:r>
      <w:r w:rsidR="00E34B2C" w:rsidRPr="00E60D17">
        <w:rPr>
          <w:rFonts w:ascii="Verdana" w:hAnsi="Verdana"/>
          <w:sz w:val="20"/>
          <w:szCs w:val="20"/>
        </w:rPr>
        <w:t>dans l’espace francophone</w:t>
      </w:r>
    </w:p>
    <w:p w14:paraId="49C1635E" w14:textId="07E2CCDC" w:rsidR="002F4BDC" w:rsidRPr="00E60D17" w:rsidRDefault="004C4718" w:rsidP="004770D5">
      <w:pPr>
        <w:pStyle w:val="Paragraphedeliste"/>
        <w:numPr>
          <w:ilvl w:val="1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>Mandater</w:t>
      </w:r>
      <w:r w:rsidR="001A25A9" w:rsidRPr="00E60D17">
        <w:rPr>
          <w:rFonts w:ascii="Verdana" w:hAnsi="Verdana"/>
          <w:sz w:val="20"/>
          <w:szCs w:val="20"/>
        </w:rPr>
        <w:t xml:space="preserve"> une </w:t>
      </w:r>
      <w:r w:rsidR="001A25A9" w:rsidRPr="00E60D17">
        <w:rPr>
          <w:rFonts w:ascii="Verdana" w:hAnsi="Verdana"/>
          <w:b/>
          <w:bCs/>
          <w:sz w:val="20"/>
          <w:szCs w:val="20"/>
        </w:rPr>
        <w:t xml:space="preserve">étude </w:t>
      </w:r>
      <w:r w:rsidR="00D0573A" w:rsidRPr="00E60D17">
        <w:rPr>
          <w:rFonts w:ascii="Verdana" w:hAnsi="Verdana"/>
          <w:b/>
          <w:bCs/>
          <w:sz w:val="20"/>
          <w:szCs w:val="20"/>
        </w:rPr>
        <w:t>externe sur les</w:t>
      </w:r>
      <w:r w:rsidR="001A25A9" w:rsidRPr="00E60D17">
        <w:rPr>
          <w:rFonts w:ascii="Verdana" w:hAnsi="Verdana"/>
          <w:b/>
          <w:bCs/>
          <w:sz w:val="20"/>
          <w:szCs w:val="20"/>
        </w:rPr>
        <w:t xml:space="preserve"> </w:t>
      </w:r>
      <w:r w:rsidR="00D62DE0" w:rsidRPr="00E60D17">
        <w:rPr>
          <w:rFonts w:ascii="Verdana" w:hAnsi="Verdana"/>
          <w:b/>
          <w:bCs/>
          <w:sz w:val="20"/>
          <w:szCs w:val="20"/>
        </w:rPr>
        <w:t xml:space="preserve">cadres de régulation et </w:t>
      </w:r>
      <w:r w:rsidR="00D0573A" w:rsidRPr="00E60D17">
        <w:rPr>
          <w:rFonts w:ascii="Verdana" w:hAnsi="Verdana"/>
          <w:b/>
          <w:bCs/>
          <w:sz w:val="20"/>
          <w:szCs w:val="20"/>
        </w:rPr>
        <w:t>l</w:t>
      </w:r>
      <w:r w:rsidR="0098730E" w:rsidRPr="00E60D17">
        <w:rPr>
          <w:rFonts w:ascii="Verdana" w:hAnsi="Verdana"/>
          <w:b/>
          <w:bCs/>
          <w:sz w:val="20"/>
          <w:szCs w:val="20"/>
        </w:rPr>
        <w:t xml:space="preserve">es </w:t>
      </w:r>
      <w:r w:rsidR="001A25A9" w:rsidRPr="00E60D17">
        <w:rPr>
          <w:rFonts w:ascii="Verdana" w:hAnsi="Verdana"/>
          <w:b/>
          <w:bCs/>
          <w:sz w:val="20"/>
          <w:szCs w:val="20"/>
        </w:rPr>
        <w:t>compétences</w:t>
      </w:r>
      <w:r w:rsidR="00365FC2" w:rsidRPr="00E60D17">
        <w:rPr>
          <w:rFonts w:ascii="Verdana" w:hAnsi="Verdana"/>
          <w:b/>
          <w:bCs/>
          <w:sz w:val="20"/>
          <w:szCs w:val="20"/>
        </w:rPr>
        <w:t xml:space="preserve"> </w:t>
      </w:r>
      <w:r w:rsidR="009E0474" w:rsidRPr="00E60D17">
        <w:rPr>
          <w:rFonts w:ascii="Verdana" w:hAnsi="Verdana"/>
          <w:b/>
          <w:bCs/>
          <w:sz w:val="20"/>
          <w:szCs w:val="20"/>
        </w:rPr>
        <w:t xml:space="preserve">en matière de </w:t>
      </w:r>
      <w:r w:rsidR="0069461C" w:rsidRPr="00E60D17">
        <w:rPr>
          <w:rFonts w:ascii="Verdana" w:hAnsi="Verdana"/>
          <w:b/>
          <w:bCs/>
          <w:sz w:val="20"/>
          <w:szCs w:val="20"/>
        </w:rPr>
        <w:t xml:space="preserve">plateformes </w:t>
      </w:r>
      <w:r w:rsidR="009E0474" w:rsidRPr="00E60D17">
        <w:rPr>
          <w:rFonts w:ascii="Verdana" w:hAnsi="Verdana"/>
          <w:b/>
          <w:bCs/>
          <w:sz w:val="20"/>
          <w:szCs w:val="20"/>
        </w:rPr>
        <w:t>en ligne</w:t>
      </w:r>
      <w:r w:rsidR="001A25A9" w:rsidRPr="00E60D17">
        <w:rPr>
          <w:rFonts w:ascii="Verdana" w:hAnsi="Verdana"/>
          <w:b/>
          <w:bCs/>
          <w:sz w:val="20"/>
          <w:szCs w:val="20"/>
        </w:rPr>
        <w:t xml:space="preserve"> des régulateurs</w:t>
      </w:r>
      <w:r w:rsidR="009E0474" w:rsidRPr="00E60D17">
        <w:rPr>
          <w:rFonts w:ascii="Verdana" w:hAnsi="Verdana"/>
          <w:b/>
          <w:bCs/>
          <w:sz w:val="20"/>
          <w:szCs w:val="20"/>
        </w:rPr>
        <w:t xml:space="preserve"> des médias</w:t>
      </w:r>
      <w:r w:rsidR="00FF4630" w:rsidRPr="00E60D17">
        <w:rPr>
          <w:rFonts w:ascii="Verdana" w:hAnsi="Verdana"/>
          <w:b/>
          <w:bCs/>
          <w:sz w:val="20"/>
          <w:szCs w:val="20"/>
        </w:rPr>
        <w:t xml:space="preserve"> </w:t>
      </w:r>
      <w:r w:rsidR="00FF4630" w:rsidRPr="00E60D17">
        <w:rPr>
          <w:rFonts w:ascii="Verdana" w:hAnsi="Verdana"/>
          <w:sz w:val="20"/>
          <w:szCs w:val="20"/>
        </w:rPr>
        <w:t>africains</w:t>
      </w:r>
      <w:r w:rsidR="001A25A9" w:rsidRPr="00E60D17">
        <w:rPr>
          <w:rFonts w:ascii="Verdana" w:hAnsi="Verdana"/>
          <w:sz w:val="20"/>
          <w:szCs w:val="20"/>
        </w:rPr>
        <w:t xml:space="preserve"> du REFRAM</w:t>
      </w:r>
      <w:r w:rsidR="00C34E06" w:rsidRPr="00E60D17">
        <w:rPr>
          <w:rFonts w:ascii="Verdana" w:hAnsi="Verdana"/>
          <w:sz w:val="20"/>
          <w:szCs w:val="20"/>
        </w:rPr>
        <w:t xml:space="preserve"> </w:t>
      </w:r>
      <w:r w:rsidR="00363F98" w:rsidRPr="00E60D17">
        <w:rPr>
          <w:rFonts w:ascii="Verdana" w:hAnsi="Verdana"/>
          <w:sz w:val="20"/>
          <w:szCs w:val="20"/>
        </w:rPr>
        <w:t xml:space="preserve">et du RIARC </w:t>
      </w:r>
    </w:p>
    <w:p w14:paraId="2463D725" w14:textId="77777777" w:rsidR="00683741" w:rsidRPr="00E60D17" w:rsidRDefault="00683741" w:rsidP="00683741">
      <w:pPr>
        <w:pStyle w:val="Paragraphedeliste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0FD76FF" w14:textId="183418AE" w:rsidR="00C34E06" w:rsidRPr="00E60D17" w:rsidRDefault="00C34E06" w:rsidP="00F23C66">
      <w:pPr>
        <w:spacing w:before="240"/>
        <w:jc w:val="both"/>
        <w:rPr>
          <w:rFonts w:ascii="Verdana" w:hAnsi="Verdana"/>
          <w:b/>
          <w:bCs/>
          <w:color w:val="4472C4" w:themeColor="accent1"/>
          <w:sz w:val="20"/>
          <w:szCs w:val="20"/>
        </w:rPr>
      </w:pPr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Axe </w:t>
      </w:r>
      <w:r w:rsidR="002F4BDC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5</w:t>
      </w:r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 : </w:t>
      </w:r>
      <w:r w:rsidR="00B14EEA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Soutenir</w:t>
      </w:r>
      <w:r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les régulateurs </w:t>
      </w:r>
      <w:r w:rsidR="00E204E2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dans leur mission </w:t>
      </w:r>
      <w:r w:rsidR="00DC510A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>vis-à-vis</w:t>
      </w:r>
      <w:r w:rsidR="00E204E2" w:rsidRPr="00E60D17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des plateformes numériques</w:t>
      </w:r>
    </w:p>
    <w:p w14:paraId="01839CA2" w14:textId="1E9F0AA9" w:rsidR="00CA5924" w:rsidRPr="00E60D17" w:rsidRDefault="00CD35F4" w:rsidP="00F23C66">
      <w:pPr>
        <w:spacing w:before="240"/>
        <w:jc w:val="both"/>
        <w:rPr>
          <w:rFonts w:ascii="Verdana" w:hAnsi="Verdana"/>
          <w:i/>
          <w:iCs/>
          <w:color w:val="4472C4" w:themeColor="accent1"/>
          <w:sz w:val="20"/>
          <w:szCs w:val="20"/>
        </w:rPr>
      </w:pPr>
      <w:r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Si les</w:t>
      </w:r>
      <w:r w:rsidR="00CA592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="008C22B3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différentes </w:t>
      </w:r>
      <w:r w:rsidR="00CA592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conférences </w:t>
      </w:r>
      <w:r w:rsidR="004B726A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organisées par le</w:t>
      </w:r>
      <w:r w:rsidR="00CA592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REFRAM</w:t>
      </w:r>
      <w:r w:rsidR="008C22B3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, le </w:t>
      </w:r>
      <w:r w:rsidR="00CA592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RIARC</w:t>
      </w:r>
      <w:r w:rsidR="004B726A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et</w:t>
      </w:r>
      <w:r w:rsidR="00CA592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l’OIF</w:t>
      </w:r>
      <w:r w:rsidR="004B726A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="007B25D9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ont</w:t>
      </w:r>
      <w:r w:rsidR="00CA592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="008C22B3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permis de </w:t>
      </w:r>
      <w:r w:rsidR="009E047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contribuer à </w:t>
      </w:r>
      <w:r w:rsidR="00676871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l’adaptation de la régulation</w:t>
      </w:r>
      <w:r w:rsidR="009E047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des médias</w:t>
      </w:r>
      <w:r w:rsidR="00676871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au</w:t>
      </w:r>
      <w:r w:rsidR="00EC459C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x</w:t>
      </w:r>
      <w:r w:rsidR="00676871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</w:t>
      </w:r>
      <w:r w:rsidR="003D718D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enjeux </w:t>
      </w:r>
      <w:r w:rsidR="00676871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numérique</w:t>
      </w:r>
      <w:r w:rsidR="00EC459C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s, </w:t>
      </w:r>
      <w:r w:rsidR="00A2216B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il apparaît </w:t>
      </w:r>
      <w:r w:rsidR="009E047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util</w:t>
      </w:r>
      <w:r w:rsidR="00981628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e</w:t>
      </w:r>
      <w:r w:rsidR="00A2216B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 de </w:t>
      </w:r>
      <w:r w:rsidR="009E0474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proposer </w:t>
      </w:r>
      <w:r w:rsidR="00A2216B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aux régulateurs </w:t>
      </w:r>
      <w:r w:rsidR="00122595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des outils </w:t>
      </w:r>
      <w:r w:rsidR="003D718D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>leur permettant d’assurer leur mission vis-à-vis des plateformes numériques</w:t>
      </w:r>
      <w:r w:rsidR="00A2216B" w:rsidRPr="00E60D17">
        <w:rPr>
          <w:rFonts w:ascii="Verdana" w:hAnsi="Verdana"/>
          <w:i/>
          <w:iCs/>
          <w:color w:val="4472C4" w:themeColor="accent1"/>
          <w:sz w:val="20"/>
          <w:szCs w:val="20"/>
        </w:rPr>
        <w:t xml:space="preserve">. </w:t>
      </w:r>
    </w:p>
    <w:p w14:paraId="2247F690" w14:textId="2AC15BF5" w:rsidR="00E87A3F" w:rsidRPr="00E60D17" w:rsidRDefault="00E87A3F" w:rsidP="004770D5">
      <w:pPr>
        <w:pStyle w:val="Paragraphedeliste"/>
        <w:numPr>
          <w:ilvl w:val="1"/>
          <w:numId w:val="26"/>
        </w:numPr>
        <w:spacing w:before="240" w:line="276" w:lineRule="auto"/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>Favoriser l’</w:t>
      </w:r>
      <w:r w:rsidRPr="00E60D17">
        <w:rPr>
          <w:rFonts w:ascii="Verdana" w:hAnsi="Verdana"/>
          <w:b/>
          <w:bCs/>
          <w:sz w:val="20"/>
          <w:szCs w:val="20"/>
        </w:rPr>
        <w:t>échange de bonnes pratiques</w:t>
      </w:r>
      <w:r w:rsidR="00890EF1" w:rsidRPr="00E60D17">
        <w:rPr>
          <w:rFonts w:ascii="Verdana" w:hAnsi="Verdana"/>
          <w:sz w:val="20"/>
          <w:szCs w:val="20"/>
        </w:rPr>
        <w:t xml:space="preserve"> entre régulateurs </w:t>
      </w:r>
      <w:r w:rsidR="00E34B2C" w:rsidRPr="00E60D17">
        <w:rPr>
          <w:rFonts w:ascii="Verdana" w:hAnsi="Verdana"/>
          <w:sz w:val="20"/>
          <w:szCs w:val="20"/>
        </w:rPr>
        <w:t>dans le domaine de la régulation du numérique</w:t>
      </w:r>
    </w:p>
    <w:p w14:paraId="40C3A5DE" w14:textId="7E6B8984" w:rsidR="002F4BDC" w:rsidRPr="00E60D17" w:rsidRDefault="009E0474" w:rsidP="004770D5">
      <w:pPr>
        <w:pStyle w:val="Paragraphedeliste"/>
        <w:numPr>
          <w:ilvl w:val="1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>Favoriser les</w:t>
      </w:r>
      <w:r w:rsidR="0080396C" w:rsidRPr="00E60D17">
        <w:rPr>
          <w:rFonts w:ascii="Verdana" w:hAnsi="Verdana"/>
          <w:sz w:val="20"/>
          <w:szCs w:val="20"/>
        </w:rPr>
        <w:t xml:space="preserve"> </w:t>
      </w:r>
      <w:r w:rsidR="004877CA" w:rsidRPr="00E60D17">
        <w:rPr>
          <w:rFonts w:ascii="Verdana" w:hAnsi="Verdana"/>
          <w:b/>
          <w:bCs/>
          <w:sz w:val="20"/>
          <w:szCs w:val="20"/>
        </w:rPr>
        <w:t>échanges</w:t>
      </w:r>
      <w:r w:rsidR="00717C44" w:rsidRPr="00E60D17">
        <w:rPr>
          <w:rFonts w:ascii="Verdana" w:hAnsi="Verdana"/>
          <w:b/>
          <w:bCs/>
          <w:sz w:val="20"/>
          <w:szCs w:val="20"/>
        </w:rPr>
        <w:t xml:space="preserve"> thématiques entre</w:t>
      </w:r>
      <w:r w:rsidR="00E204E2" w:rsidRPr="00E60D17">
        <w:rPr>
          <w:rFonts w:ascii="Verdana" w:hAnsi="Verdana"/>
          <w:b/>
          <w:bCs/>
          <w:sz w:val="20"/>
          <w:szCs w:val="20"/>
        </w:rPr>
        <w:t xml:space="preserve"> </w:t>
      </w:r>
      <w:r w:rsidR="00717C44" w:rsidRPr="00E60D17">
        <w:rPr>
          <w:rFonts w:ascii="Verdana" w:hAnsi="Verdana"/>
          <w:b/>
          <w:bCs/>
          <w:sz w:val="20"/>
          <w:szCs w:val="20"/>
        </w:rPr>
        <w:t>l</w:t>
      </w:r>
      <w:r w:rsidR="00E34B2C" w:rsidRPr="00E60D17">
        <w:rPr>
          <w:rFonts w:ascii="Verdana" w:hAnsi="Verdana"/>
          <w:b/>
          <w:bCs/>
          <w:sz w:val="20"/>
          <w:szCs w:val="20"/>
        </w:rPr>
        <w:t>es</w:t>
      </w:r>
      <w:r w:rsidR="004877CA" w:rsidRPr="00E60D17">
        <w:rPr>
          <w:rFonts w:ascii="Verdana" w:hAnsi="Verdana"/>
          <w:b/>
          <w:bCs/>
          <w:sz w:val="20"/>
          <w:szCs w:val="20"/>
        </w:rPr>
        <w:t xml:space="preserve"> régulateurs et les</w:t>
      </w:r>
      <w:r w:rsidR="00E34B2C" w:rsidRPr="00E60D17">
        <w:rPr>
          <w:rFonts w:ascii="Verdana" w:hAnsi="Verdana"/>
          <w:b/>
          <w:bCs/>
          <w:sz w:val="20"/>
          <w:szCs w:val="20"/>
        </w:rPr>
        <w:t xml:space="preserve"> </w:t>
      </w:r>
      <w:r w:rsidR="00E204E2" w:rsidRPr="00E60D17">
        <w:rPr>
          <w:rFonts w:ascii="Verdana" w:hAnsi="Verdana"/>
          <w:b/>
          <w:bCs/>
          <w:sz w:val="20"/>
          <w:szCs w:val="20"/>
        </w:rPr>
        <w:t>plateformes</w:t>
      </w:r>
      <w:r w:rsidR="00E204E2" w:rsidRPr="00E60D17">
        <w:rPr>
          <w:rFonts w:ascii="Verdana" w:hAnsi="Verdana"/>
          <w:sz w:val="20"/>
          <w:szCs w:val="20"/>
        </w:rPr>
        <w:t xml:space="preserve"> </w:t>
      </w:r>
      <w:r w:rsidR="00CE0AC6" w:rsidRPr="00E60D17">
        <w:rPr>
          <w:rFonts w:ascii="Verdana" w:hAnsi="Verdana"/>
          <w:sz w:val="20"/>
          <w:szCs w:val="20"/>
        </w:rPr>
        <w:t xml:space="preserve">sur </w:t>
      </w:r>
      <w:r w:rsidR="00DC25DE" w:rsidRPr="00E60D17">
        <w:rPr>
          <w:rFonts w:ascii="Verdana" w:hAnsi="Verdana"/>
          <w:sz w:val="20"/>
          <w:szCs w:val="20"/>
        </w:rPr>
        <w:t xml:space="preserve">le fonctionnement </w:t>
      </w:r>
      <w:r w:rsidR="00CE7F5B" w:rsidRPr="00E60D17">
        <w:rPr>
          <w:rFonts w:ascii="Verdana" w:hAnsi="Verdana"/>
          <w:sz w:val="20"/>
          <w:szCs w:val="20"/>
        </w:rPr>
        <w:t xml:space="preserve">et les fonctionnalités </w:t>
      </w:r>
      <w:r w:rsidR="00DC25DE" w:rsidRPr="00E60D17">
        <w:rPr>
          <w:rFonts w:ascii="Verdana" w:hAnsi="Verdana"/>
          <w:sz w:val="20"/>
          <w:szCs w:val="20"/>
        </w:rPr>
        <w:t>de leur</w:t>
      </w:r>
      <w:r w:rsidR="00CE0AC6" w:rsidRPr="00E60D17">
        <w:rPr>
          <w:rFonts w:ascii="Verdana" w:hAnsi="Verdana"/>
          <w:sz w:val="20"/>
          <w:szCs w:val="20"/>
        </w:rPr>
        <w:t>s</w:t>
      </w:r>
      <w:r w:rsidR="00DC25DE" w:rsidRPr="00E60D17">
        <w:rPr>
          <w:rFonts w:ascii="Verdana" w:hAnsi="Verdana"/>
          <w:sz w:val="20"/>
          <w:szCs w:val="20"/>
        </w:rPr>
        <w:t xml:space="preserve"> service</w:t>
      </w:r>
      <w:r w:rsidR="00CE0AC6" w:rsidRPr="00E60D17">
        <w:rPr>
          <w:rFonts w:ascii="Verdana" w:hAnsi="Verdana"/>
          <w:sz w:val="20"/>
          <w:szCs w:val="20"/>
        </w:rPr>
        <w:t>s</w:t>
      </w:r>
      <w:r w:rsidR="00E204E2" w:rsidRPr="00E60D17">
        <w:rPr>
          <w:rFonts w:ascii="Verdana" w:hAnsi="Verdana"/>
          <w:sz w:val="20"/>
          <w:szCs w:val="20"/>
        </w:rPr>
        <w:t xml:space="preserve"> </w:t>
      </w:r>
    </w:p>
    <w:p w14:paraId="35379927" w14:textId="22D9CED1" w:rsidR="004675BB" w:rsidRPr="00E60D17" w:rsidRDefault="004675BB" w:rsidP="004770D5">
      <w:pPr>
        <w:pStyle w:val="Paragraphedeliste"/>
        <w:numPr>
          <w:ilvl w:val="1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 xml:space="preserve">Créer et mettre à disposition des régulateurs une </w:t>
      </w:r>
      <w:r w:rsidRPr="00E60D17">
        <w:rPr>
          <w:rFonts w:ascii="Verdana" w:hAnsi="Verdana"/>
          <w:b/>
          <w:bCs/>
          <w:sz w:val="20"/>
          <w:szCs w:val="20"/>
        </w:rPr>
        <w:t>boîte à outils</w:t>
      </w:r>
      <w:r w:rsidRPr="00E60D17">
        <w:rPr>
          <w:rFonts w:ascii="Verdana" w:hAnsi="Verdana"/>
          <w:sz w:val="20"/>
          <w:szCs w:val="20"/>
        </w:rPr>
        <w:t xml:space="preserve"> </w:t>
      </w:r>
      <w:r w:rsidR="00F5730C" w:rsidRPr="00E60D17">
        <w:rPr>
          <w:rFonts w:ascii="Verdana" w:hAnsi="Verdana"/>
          <w:sz w:val="20"/>
          <w:szCs w:val="20"/>
        </w:rPr>
        <w:t>intégr</w:t>
      </w:r>
      <w:r w:rsidR="00C1344C" w:rsidRPr="00E60D17">
        <w:rPr>
          <w:rFonts w:ascii="Verdana" w:hAnsi="Verdana"/>
          <w:sz w:val="20"/>
          <w:szCs w:val="20"/>
        </w:rPr>
        <w:t>ant</w:t>
      </w:r>
      <w:r w:rsidR="00FF4630" w:rsidRPr="00E60D17">
        <w:rPr>
          <w:rFonts w:ascii="Verdana" w:hAnsi="Verdana"/>
          <w:sz w:val="20"/>
          <w:szCs w:val="20"/>
        </w:rPr>
        <w:t xml:space="preserve"> notamment</w:t>
      </w:r>
      <w:r w:rsidR="00F5730C" w:rsidRPr="00E60D17">
        <w:rPr>
          <w:rFonts w:ascii="Verdana" w:hAnsi="Verdana"/>
          <w:sz w:val="20"/>
          <w:szCs w:val="20"/>
        </w:rPr>
        <w:t xml:space="preserve"> </w:t>
      </w:r>
      <w:r w:rsidR="00FF4630" w:rsidRPr="00E60D17">
        <w:rPr>
          <w:rFonts w:ascii="Verdana" w:hAnsi="Verdana"/>
          <w:sz w:val="20"/>
          <w:szCs w:val="20"/>
        </w:rPr>
        <w:t>l’act</w:t>
      </w:r>
      <w:r w:rsidR="00F5730C" w:rsidRPr="00E60D17">
        <w:rPr>
          <w:rFonts w:ascii="Verdana" w:hAnsi="Verdana"/>
          <w:sz w:val="20"/>
          <w:szCs w:val="20"/>
        </w:rPr>
        <w:t>ion 2.</w:t>
      </w:r>
      <w:r w:rsidR="00F47EB7" w:rsidRPr="00E60D17">
        <w:rPr>
          <w:rFonts w:ascii="Verdana" w:hAnsi="Verdana"/>
          <w:sz w:val="20"/>
          <w:szCs w:val="20"/>
        </w:rPr>
        <w:t>2</w:t>
      </w:r>
      <w:r w:rsidR="00F5730C" w:rsidRPr="00E60D17">
        <w:rPr>
          <w:rFonts w:ascii="Verdana" w:hAnsi="Verdana"/>
          <w:sz w:val="20"/>
          <w:szCs w:val="20"/>
        </w:rPr>
        <w:t xml:space="preserve"> </w:t>
      </w:r>
    </w:p>
    <w:p w14:paraId="4E6EE5B0" w14:textId="0BB054D1" w:rsidR="003D61A4" w:rsidRPr="00E60D17" w:rsidRDefault="003D61A4" w:rsidP="003D61A4">
      <w:pPr>
        <w:jc w:val="both"/>
        <w:rPr>
          <w:rFonts w:ascii="Verdana" w:hAnsi="Verdana"/>
          <w:sz w:val="20"/>
          <w:szCs w:val="20"/>
        </w:rPr>
      </w:pPr>
    </w:p>
    <w:p w14:paraId="06B2843C" w14:textId="77777777" w:rsidR="00C57B85" w:rsidRPr="00E60D17" w:rsidRDefault="00C57B85" w:rsidP="003D61A4">
      <w:pPr>
        <w:jc w:val="both"/>
        <w:rPr>
          <w:rFonts w:ascii="Verdana" w:hAnsi="Verdana"/>
          <w:sz w:val="20"/>
          <w:szCs w:val="20"/>
        </w:rPr>
      </w:pPr>
    </w:p>
    <w:p w14:paraId="1B5096F7" w14:textId="3C044AA4" w:rsidR="003D61A4" w:rsidRPr="003D61A4" w:rsidRDefault="003D61A4" w:rsidP="003D61A4">
      <w:pPr>
        <w:jc w:val="right"/>
        <w:rPr>
          <w:rFonts w:ascii="Verdana" w:hAnsi="Verdana"/>
          <w:sz w:val="20"/>
          <w:szCs w:val="20"/>
        </w:rPr>
      </w:pPr>
      <w:r w:rsidRPr="00E60D17">
        <w:rPr>
          <w:rFonts w:ascii="Verdana" w:hAnsi="Verdana"/>
          <w:sz w:val="20"/>
          <w:szCs w:val="20"/>
        </w:rPr>
        <w:t xml:space="preserve">Dakar, le </w:t>
      </w:r>
      <w:r w:rsidR="00C57B85" w:rsidRPr="00E60D17">
        <w:rPr>
          <w:rFonts w:ascii="Verdana" w:hAnsi="Verdana"/>
          <w:sz w:val="20"/>
          <w:szCs w:val="20"/>
        </w:rPr>
        <w:t>2</w:t>
      </w:r>
      <w:r w:rsidRPr="00E60D17">
        <w:rPr>
          <w:rFonts w:ascii="Verdana" w:hAnsi="Verdana"/>
          <w:sz w:val="20"/>
          <w:szCs w:val="20"/>
        </w:rPr>
        <w:t xml:space="preserve"> décembre 2025</w:t>
      </w:r>
    </w:p>
    <w:sectPr w:rsidR="003D61A4" w:rsidRPr="003D61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27A6" w14:textId="77777777" w:rsidR="00665AF2" w:rsidRDefault="00665AF2" w:rsidP="006C6FDF">
      <w:pPr>
        <w:spacing w:after="0" w:line="240" w:lineRule="auto"/>
      </w:pPr>
      <w:r>
        <w:separator/>
      </w:r>
    </w:p>
  </w:endnote>
  <w:endnote w:type="continuationSeparator" w:id="0">
    <w:p w14:paraId="436BDCDB" w14:textId="77777777" w:rsidR="00665AF2" w:rsidRDefault="00665AF2" w:rsidP="006C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5F45" w14:textId="77777777" w:rsidR="00665AF2" w:rsidRDefault="00665AF2" w:rsidP="006C6FDF">
      <w:pPr>
        <w:spacing w:after="0" w:line="240" w:lineRule="auto"/>
      </w:pPr>
      <w:r>
        <w:separator/>
      </w:r>
    </w:p>
  </w:footnote>
  <w:footnote w:type="continuationSeparator" w:id="0">
    <w:p w14:paraId="430F5786" w14:textId="77777777" w:rsidR="00665AF2" w:rsidRDefault="00665AF2" w:rsidP="006C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D400" w14:textId="499E4562" w:rsidR="00291955" w:rsidRDefault="00291955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9D3657" wp14:editId="1029BC57">
          <wp:simplePos x="0" y="0"/>
          <wp:positionH relativeFrom="column">
            <wp:posOffset>5092065</wp:posOffset>
          </wp:positionH>
          <wp:positionV relativeFrom="paragraph">
            <wp:posOffset>9525</wp:posOffset>
          </wp:positionV>
          <wp:extent cx="652145" cy="603250"/>
          <wp:effectExtent l="0" t="0" r="0" b="635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45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08A71E" wp14:editId="171C826B">
          <wp:simplePos x="0" y="0"/>
          <wp:positionH relativeFrom="column">
            <wp:posOffset>-15240</wp:posOffset>
          </wp:positionH>
          <wp:positionV relativeFrom="paragraph">
            <wp:posOffset>10795</wp:posOffset>
          </wp:positionV>
          <wp:extent cx="762000" cy="53784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C1BEAD" w14:textId="675B21BD" w:rsidR="00291955" w:rsidRDefault="00291955">
    <w:pPr>
      <w:pStyle w:val="En-tte"/>
    </w:pPr>
  </w:p>
  <w:p w14:paraId="4863D252" w14:textId="5EAE8217" w:rsidR="00291955" w:rsidRDefault="00291955">
    <w:pPr>
      <w:pStyle w:val="En-tte"/>
    </w:pPr>
  </w:p>
  <w:p w14:paraId="060016B7" w14:textId="25B270CE" w:rsidR="005A2E9A" w:rsidRDefault="005A2E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808"/>
    <w:multiLevelType w:val="multilevel"/>
    <w:tmpl w:val="3A24C34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B44A2D"/>
    <w:multiLevelType w:val="multilevel"/>
    <w:tmpl w:val="CCF20E94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E026E0"/>
    <w:multiLevelType w:val="multilevel"/>
    <w:tmpl w:val="F9EEDDBE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214561"/>
    <w:multiLevelType w:val="multilevel"/>
    <w:tmpl w:val="D8166A1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8B3AD0"/>
    <w:multiLevelType w:val="multilevel"/>
    <w:tmpl w:val="1DB28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E22C30"/>
    <w:multiLevelType w:val="multilevel"/>
    <w:tmpl w:val="E76CB9A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351095B"/>
    <w:multiLevelType w:val="multilevel"/>
    <w:tmpl w:val="199AB266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4242C5F"/>
    <w:multiLevelType w:val="multilevel"/>
    <w:tmpl w:val="FF92216C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AE133A6"/>
    <w:multiLevelType w:val="multilevel"/>
    <w:tmpl w:val="CCC8CD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44D2C66"/>
    <w:multiLevelType w:val="multilevel"/>
    <w:tmpl w:val="12AA4FBE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54A0A27"/>
    <w:multiLevelType w:val="hybridMultilevel"/>
    <w:tmpl w:val="07FA414A"/>
    <w:lvl w:ilvl="0" w:tplc="A7C4887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66AEC"/>
    <w:multiLevelType w:val="multilevel"/>
    <w:tmpl w:val="401CD20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307234B"/>
    <w:multiLevelType w:val="hybridMultilevel"/>
    <w:tmpl w:val="7A548D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24BF5"/>
    <w:multiLevelType w:val="multilevel"/>
    <w:tmpl w:val="75AA9244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83732D7"/>
    <w:multiLevelType w:val="hybridMultilevel"/>
    <w:tmpl w:val="1B2EF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63945"/>
    <w:multiLevelType w:val="hybridMultilevel"/>
    <w:tmpl w:val="448AB9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B7374"/>
    <w:multiLevelType w:val="hybridMultilevel"/>
    <w:tmpl w:val="FFE237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E3D78"/>
    <w:multiLevelType w:val="multilevel"/>
    <w:tmpl w:val="CF8CA676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BF6DEE"/>
    <w:multiLevelType w:val="multilevel"/>
    <w:tmpl w:val="12AA4FBE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5864A8F"/>
    <w:multiLevelType w:val="hybridMultilevel"/>
    <w:tmpl w:val="2020F31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0B0E91"/>
    <w:multiLevelType w:val="hybridMultilevel"/>
    <w:tmpl w:val="87F8A00C"/>
    <w:lvl w:ilvl="0" w:tplc="87D6A760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729A2"/>
    <w:multiLevelType w:val="hybridMultilevel"/>
    <w:tmpl w:val="BAD4E5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8599C"/>
    <w:multiLevelType w:val="multilevel"/>
    <w:tmpl w:val="EE86115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225761F"/>
    <w:multiLevelType w:val="hybridMultilevel"/>
    <w:tmpl w:val="607E2B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12220"/>
    <w:multiLevelType w:val="multilevel"/>
    <w:tmpl w:val="CCC8CD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0164206"/>
    <w:multiLevelType w:val="multilevel"/>
    <w:tmpl w:val="CCC8CD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1400293"/>
    <w:multiLevelType w:val="multilevel"/>
    <w:tmpl w:val="F91679C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46775D2"/>
    <w:multiLevelType w:val="multilevel"/>
    <w:tmpl w:val="12AA4FBE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5C849CA"/>
    <w:multiLevelType w:val="hybridMultilevel"/>
    <w:tmpl w:val="A7448F4A"/>
    <w:lvl w:ilvl="0" w:tplc="7A24261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D15CF"/>
    <w:multiLevelType w:val="multilevel"/>
    <w:tmpl w:val="D81061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02728880">
    <w:abstractNumId w:val="15"/>
  </w:num>
  <w:num w:numId="2" w16cid:durableId="1008337207">
    <w:abstractNumId w:val="10"/>
  </w:num>
  <w:num w:numId="3" w16cid:durableId="283587200">
    <w:abstractNumId w:val="4"/>
  </w:num>
  <w:num w:numId="4" w16cid:durableId="836112395">
    <w:abstractNumId w:val="21"/>
  </w:num>
  <w:num w:numId="5" w16cid:durableId="623736967">
    <w:abstractNumId w:val="11"/>
  </w:num>
  <w:num w:numId="6" w16cid:durableId="319963243">
    <w:abstractNumId w:val="19"/>
  </w:num>
  <w:num w:numId="7" w16cid:durableId="1997680236">
    <w:abstractNumId w:val="18"/>
  </w:num>
  <w:num w:numId="8" w16cid:durableId="641036504">
    <w:abstractNumId w:val="9"/>
  </w:num>
  <w:num w:numId="9" w16cid:durableId="1059018118">
    <w:abstractNumId w:val="2"/>
  </w:num>
  <w:num w:numId="10" w16cid:durableId="717053962">
    <w:abstractNumId w:val="27"/>
  </w:num>
  <w:num w:numId="11" w16cid:durableId="1978297921">
    <w:abstractNumId w:val="24"/>
  </w:num>
  <w:num w:numId="12" w16cid:durableId="1937980913">
    <w:abstractNumId w:val="8"/>
  </w:num>
  <w:num w:numId="13" w16cid:durableId="1669795678">
    <w:abstractNumId w:val="25"/>
  </w:num>
  <w:num w:numId="14" w16cid:durableId="750931735">
    <w:abstractNumId w:val="17"/>
  </w:num>
  <w:num w:numId="15" w16cid:durableId="1518740180">
    <w:abstractNumId w:val="0"/>
  </w:num>
  <w:num w:numId="16" w16cid:durableId="1732145800">
    <w:abstractNumId w:val="20"/>
  </w:num>
  <w:num w:numId="17" w16cid:durableId="2139445358">
    <w:abstractNumId w:val="14"/>
  </w:num>
  <w:num w:numId="18" w16cid:durableId="1355961661">
    <w:abstractNumId w:val="5"/>
  </w:num>
  <w:num w:numId="19" w16cid:durableId="1675065196">
    <w:abstractNumId w:val="29"/>
  </w:num>
  <w:num w:numId="20" w16cid:durableId="735127103">
    <w:abstractNumId w:val="26"/>
  </w:num>
  <w:num w:numId="21" w16cid:durableId="225536983">
    <w:abstractNumId w:val="7"/>
  </w:num>
  <w:num w:numId="22" w16cid:durableId="366417528">
    <w:abstractNumId w:val="6"/>
  </w:num>
  <w:num w:numId="23" w16cid:durableId="1917009922">
    <w:abstractNumId w:val="16"/>
  </w:num>
  <w:num w:numId="24" w16cid:durableId="235632191">
    <w:abstractNumId w:val="3"/>
  </w:num>
  <w:num w:numId="25" w16cid:durableId="1219365901">
    <w:abstractNumId w:val="1"/>
  </w:num>
  <w:num w:numId="26" w16cid:durableId="720639068">
    <w:abstractNumId w:val="13"/>
  </w:num>
  <w:num w:numId="27" w16cid:durableId="722676207">
    <w:abstractNumId w:val="22"/>
  </w:num>
  <w:num w:numId="28" w16cid:durableId="105395043">
    <w:abstractNumId w:val="12"/>
  </w:num>
  <w:num w:numId="29" w16cid:durableId="1913857219">
    <w:abstractNumId w:val="23"/>
  </w:num>
  <w:num w:numId="30" w16cid:durableId="9772267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42"/>
    <w:rsid w:val="0001086B"/>
    <w:rsid w:val="00021754"/>
    <w:rsid w:val="00024C40"/>
    <w:rsid w:val="000268C7"/>
    <w:rsid w:val="000317C7"/>
    <w:rsid w:val="0003550D"/>
    <w:rsid w:val="00044961"/>
    <w:rsid w:val="0004567F"/>
    <w:rsid w:val="00046D07"/>
    <w:rsid w:val="000565AF"/>
    <w:rsid w:val="00077D67"/>
    <w:rsid w:val="000917ED"/>
    <w:rsid w:val="000A08AF"/>
    <w:rsid w:val="000A5AAE"/>
    <w:rsid w:val="000A766D"/>
    <w:rsid w:val="000A76C1"/>
    <w:rsid w:val="000A7B30"/>
    <w:rsid w:val="000B0AEA"/>
    <w:rsid w:val="000B30B6"/>
    <w:rsid w:val="000C5475"/>
    <w:rsid w:val="000D3AC5"/>
    <w:rsid w:val="000D557A"/>
    <w:rsid w:val="000E10BE"/>
    <w:rsid w:val="000E2BBD"/>
    <w:rsid w:val="000F0B90"/>
    <w:rsid w:val="000F3996"/>
    <w:rsid w:val="000F57E9"/>
    <w:rsid w:val="000F7CDC"/>
    <w:rsid w:val="00102392"/>
    <w:rsid w:val="00104BEC"/>
    <w:rsid w:val="001053E2"/>
    <w:rsid w:val="001145FF"/>
    <w:rsid w:val="00122595"/>
    <w:rsid w:val="00126927"/>
    <w:rsid w:val="00130980"/>
    <w:rsid w:val="001335E8"/>
    <w:rsid w:val="00140F18"/>
    <w:rsid w:val="00147975"/>
    <w:rsid w:val="001520E5"/>
    <w:rsid w:val="00152CDF"/>
    <w:rsid w:val="00163D89"/>
    <w:rsid w:val="00167480"/>
    <w:rsid w:val="00170918"/>
    <w:rsid w:val="00183892"/>
    <w:rsid w:val="00185404"/>
    <w:rsid w:val="00196376"/>
    <w:rsid w:val="001968F8"/>
    <w:rsid w:val="001A25A9"/>
    <w:rsid w:val="001B0967"/>
    <w:rsid w:val="001B1351"/>
    <w:rsid w:val="001C26FD"/>
    <w:rsid w:val="001C2F46"/>
    <w:rsid w:val="001D3453"/>
    <w:rsid w:val="001D3E38"/>
    <w:rsid w:val="001D7588"/>
    <w:rsid w:val="001E05CB"/>
    <w:rsid w:val="002062D4"/>
    <w:rsid w:val="00207999"/>
    <w:rsid w:val="00212810"/>
    <w:rsid w:val="00221DAC"/>
    <w:rsid w:val="0022407E"/>
    <w:rsid w:val="00225322"/>
    <w:rsid w:val="0023262B"/>
    <w:rsid w:val="00236132"/>
    <w:rsid w:val="00241B8E"/>
    <w:rsid w:val="00242138"/>
    <w:rsid w:val="00250817"/>
    <w:rsid w:val="002664D7"/>
    <w:rsid w:val="00272050"/>
    <w:rsid w:val="002819C9"/>
    <w:rsid w:val="00291955"/>
    <w:rsid w:val="002943B6"/>
    <w:rsid w:val="00296E7E"/>
    <w:rsid w:val="002A612A"/>
    <w:rsid w:val="002B11C6"/>
    <w:rsid w:val="002B2A79"/>
    <w:rsid w:val="002B5CDB"/>
    <w:rsid w:val="002C27F3"/>
    <w:rsid w:val="002C55EF"/>
    <w:rsid w:val="002C5C02"/>
    <w:rsid w:val="002C6208"/>
    <w:rsid w:val="002D3599"/>
    <w:rsid w:val="002E19AC"/>
    <w:rsid w:val="002E23C0"/>
    <w:rsid w:val="002F009C"/>
    <w:rsid w:val="002F2CB2"/>
    <w:rsid w:val="002F386A"/>
    <w:rsid w:val="002F4BDC"/>
    <w:rsid w:val="00301CC4"/>
    <w:rsid w:val="00305EE5"/>
    <w:rsid w:val="003117CA"/>
    <w:rsid w:val="00315802"/>
    <w:rsid w:val="003203F2"/>
    <w:rsid w:val="00326773"/>
    <w:rsid w:val="00332F8F"/>
    <w:rsid w:val="003454BD"/>
    <w:rsid w:val="00353145"/>
    <w:rsid w:val="00353DDA"/>
    <w:rsid w:val="00360800"/>
    <w:rsid w:val="00363F98"/>
    <w:rsid w:val="00365FC2"/>
    <w:rsid w:val="00373185"/>
    <w:rsid w:val="00373B68"/>
    <w:rsid w:val="003902E1"/>
    <w:rsid w:val="00392737"/>
    <w:rsid w:val="003931C2"/>
    <w:rsid w:val="003A001A"/>
    <w:rsid w:val="003A206A"/>
    <w:rsid w:val="003A3291"/>
    <w:rsid w:val="003B2B42"/>
    <w:rsid w:val="003B377C"/>
    <w:rsid w:val="003C3DC4"/>
    <w:rsid w:val="003C5336"/>
    <w:rsid w:val="003C6C18"/>
    <w:rsid w:val="003C6E8B"/>
    <w:rsid w:val="003D596B"/>
    <w:rsid w:val="003D61A4"/>
    <w:rsid w:val="003D67EF"/>
    <w:rsid w:val="003D718D"/>
    <w:rsid w:val="003E0B16"/>
    <w:rsid w:val="00430AE4"/>
    <w:rsid w:val="00436BD0"/>
    <w:rsid w:val="004431B1"/>
    <w:rsid w:val="004449A6"/>
    <w:rsid w:val="00453119"/>
    <w:rsid w:val="00455553"/>
    <w:rsid w:val="00456D2D"/>
    <w:rsid w:val="0045710E"/>
    <w:rsid w:val="004675BB"/>
    <w:rsid w:val="00467EA6"/>
    <w:rsid w:val="00474CA6"/>
    <w:rsid w:val="004770D5"/>
    <w:rsid w:val="004856F7"/>
    <w:rsid w:val="004877CA"/>
    <w:rsid w:val="00495071"/>
    <w:rsid w:val="004A3CA8"/>
    <w:rsid w:val="004A708A"/>
    <w:rsid w:val="004A7BE5"/>
    <w:rsid w:val="004B726A"/>
    <w:rsid w:val="004C4718"/>
    <w:rsid w:val="004D5B66"/>
    <w:rsid w:val="004F41BB"/>
    <w:rsid w:val="00512C4D"/>
    <w:rsid w:val="005229CF"/>
    <w:rsid w:val="00523439"/>
    <w:rsid w:val="00550731"/>
    <w:rsid w:val="0055264D"/>
    <w:rsid w:val="0056176B"/>
    <w:rsid w:val="0057179E"/>
    <w:rsid w:val="005843F5"/>
    <w:rsid w:val="005A17D5"/>
    <w:rsid w:val="005A2D4A"/>
    <w:rsid w:val="005A2E9A"/>
    <w:rsid w:val="005B3548"/>
    <w:rsid w:val="005D1306"/>
    <w:rsid w:val="005D454E"/>
    <w:rsid w:val="005D5839"/>
    <w:rsid w:val="005F0488"/>
    <w:rsid w:val="0060787A"/>
    <w:rsid w:val="006212DD"/>
    <w:rsid w:val="00621A49"/>
    <w:rsid w:val="006250DB"/>
    <w:rsid w:val="00642B88"/>
    <w:rsid w:val="00646438"/>
    <w:rsid w:val="00650F98"/>
    <w:rsid w:val="00654899"/>
    <w:rsid w:val="0065759A"/>
    <w:rsid w:val="00665AF2"/>
    <w:rsid w:val="00666896"/>
    <w:rsid w:val="0067126E"/>
    <w:rsid w:val="0067518D"/>
    <w:rsid w:val="00676871"/>
    <w:rsid w:val="00682227"/>
    <w:rsid w:val="00683741"/>
    <w:rsid w:val="0069020B"/>
    <w:rsid w:val="00690807"/>
    <w:rsid w:val="0069461C"/>
    <w:rsid w:val="006C6312"/>
    <w:rsid w:val="006C6FDF"/>
    <w:rsid w:val="006C74F6"/>
    <w:rsid w:val="006D1A9A"/>
    <w:rsid w:val="006D1DFF"/>
    <w:rsid w:val="006D7A4D"/>
    <w:rsid w:val="006E1B18"/>
    <w:rsid w:val="006E39E6"/>
    <w:rsid w:val="006F2B4C"/>
    <w:rsid w:val="006F41D4"/>
    <w:rsid w:val="00700CFA"/>
    <w:rsid w:val="00704128"/>
    <w:rsid w:val="00717C44"/>
    <w:rsid w:val="007208C4"/>
    <w:rsid w:val="00720E0D"/>
    <w:rsid w:val="00732DC9"/>
    <w:rsid w:val="0074477B"/>
    <w:rsid w:val="00744A5B"/>
    <w:rsid w:val="00756416"/>
    <w:rsid w:val="00763EF1"/>
    <w:rsid w:val="00764A27"/>
    <w:rsid w:val="00767018"/>
    <w:rsid w:val="00767B19"/>
    <w:rsid w:val="00772B1B"/>
    <w:rsid w:val="00786A10"/>
    <w:rsid w:val="00787137"/>
    <w:rsid w:val="00791A94"/>
    <w:rsid w:val="007A4472"/>
    <w:rsid w:val="007B25D9"/>
    <w:rsid w:val="007B49F3"/>
    <w:rsid w:val="007B7745"/>
    <w:rsid w:val="007C00DB"/>
    <w:rsid w:val="007C34EA"/>
    <w:rsid w:val="007C42A6"/>
    <w:rsid w:val="007D156B"/>
    <w:rsid w:val="007D1E54"/>
    <w:rsid w:val="007D6656"/>
    <w:rsid w:val="007E5AFE"/>
    <w:rsid w:val="007F2699"/>
    <w:rsid w:val="007F45A8"/>
    <w:rsid w:val="008013A7"/>
    <w:rsid w:val="0080396C"/>
    <w:rsid w:val="00806DBF"/>
    <w:rsid w:val="00814EE5"/>
    <w:rsid w:val="008168EA"/>
    <w:rsid w:val="0082297B"/>
    <w:rsid w:val="00833771"/>
    <w:rsid w:val="008374C6"/>
    <w:rsid w:val="00842D0D"/>
    <w:rsid w:val="00846BEA"/>
    <w:rsid w:val="00846DED"/>
    <w:rsid w:val="00853193"/>
    <w:rsid w:val="008533D7"/>
    <w:rsid w:val="0086166D"/>
    <w:rsid w:val="00874CB6"/>
    <w:rsid w:val="008810E7"/>
    <w:rsid w:val="00883A9B"/>
    <w:rsid w:val="00883CDC"/>
    <w:rsid w:val="00890598"/>
    <w:rsid w:val="00890EF1"/>
    <w:rsid w:val="008B4173"/>
    <w:rsid w:val="008B61E0"/>
    <w:rsid w:val="008C22B3"/>
    <w:rsid w:val="008C468F"/>
    <w:rsid w:val="008C64EA"/>
    <w:rsid w:val="008D214B"/>
    <w:rsid w:val="008D2258"/>
    <w:rsid w:val="008D609A"/>
    <w:rsid w:val="008E1B0B"/>
    <w:rsid w:val="008E31BD"/>
    <w:rsid w:val="008E7E9F"/>
    <w:rsid w:val="008F27B1"/>
    <w:rsid w:val="00903CFB"/>
    <w:rsid w:val="0093194E"/>
    <w:rsid w:val="009437B4"/>
    <w:rsid w:val="00943986"/>
    <w:rsid w:val="00951E5D"/>
    <w:rsid w:val="00952010"/>
    <w:rsid w:val="00954736"/>
    <w:rsid w:val="00954DB5"/>
    <w:rsid w:val="00955A5D"/>
    <w:rsid w:val="00957D79"/>
    <w:rsid w:val="00960CE2"/>
    <w:rsid w:val="00961064"/>
    <w:rsid w:val="0097660D"/>
    <w:rsid w:val="00981628"/>
    <w:rsid w:val="0098730E"/>
    <w:rsid w:val="00991EA8"/>
    <w:rsid w:val="00997580"/>
    <w:rsid w:val="009D2C2C"/>
    <w:rsid w:val="009E0474"/>
    <w:rsid w:val="009E4CE0"/>
    <w:rsid w:val="009F205A"/>
    <w:rsid w:val="009F2DEA"/>
    <w:rsid w:val="009F73BD"/>
    <w:rsid w:val="00A15B98"/>
    <w:rsid w:val="00A16853"/>
    <w:rsid w:val="00A20844"/>
    <w:rsid w:val="00A2216B"/>
    <w:rsid w:val="00A26A63"/>
    <w:rsid w:val="00A312C1"/>
    <w:rsid w:val="00A312F6"/>
    <w:rsid w:val="00A349E0"/>
    <w:rsid w:val="00A36BA8"/>
    <w:rsid w:val="00A452F7"/>
    <w:rsid w:val="00A61775"/>
    <w:rsid w:val="00A815AE"/>
    <w:rsid w:val="00A85F1D"/>
    <w:rsid w:val="00AA2318"/>
    <w:rsid w:val="00AB02F8"/>
    <w:rsid w:val="00AB12B8"/>
    <w:rsid w:val="00AC1295"/>
    <w:rsid w:val="00AC1431"/>
    <w:rsid w:val="00AC2BCC"/>
    <w:rsid w:val="00AC5152"/>
    <w:rsid w:val="00AC5CD8"/>
    <w:rsid w:val="00AD2476"/>
    <w:rsid w:val="00AD6890"/>
    <w:rsid w:val="00AE0D3B"/>
    <w:rsid w:val="00AE7E49"/>
    <w:rsid w:val="00AF6C91"/>
    <w:rsid w:val="00B14EEA"/>
    <w:rsid w:val="00B217B6"/>
    <w:rsid w:val="00B31B9A"/>
    <w:rsid w:val="00B351E2"/>
    <w:rsid w:val="00B42E32"/>
    <w:rsid w:val="00B52A46"/>
    <w:rsid w:val="00B56FFC"/>
    <w:rsid w:val="00B611E2"/>
    <w:rsid w:val="00B70FE8"/>
    <w:rsid w:val="00B715D2"/>
    <w:rsid w:val="00B87338"/>
    <w:rsid w:val="00B94332"/>
    <w:rsid w:val="00BA1E11"/>
    <w:rsid w:val="00BA66B4"/>
    <w:rsid w:val="00BB7412"/>
    <w:rsid w:val="00BD0E8D"/>
    <w:rsid w:val="00BF3B5C"/>
    <w:rsid w:val="00C01D31"/>
    <w:rsid w:val="00C1344C"/>
    <w:rsid w:val="00C1412C"/>
    <w:rsid w:val="00C21DA4"/>
    <w:rsid w:val="00C26691"/>
    <w:rsid w:val="00C33D6C"/>
    <w:rsid w:val="00C34E06"/>
    <w:rsid w:val="00C401E4"/>
    <w:rsid w:val="00C43B72"/>
    <w:rsid w:val="00C56AD4"/>
    <w:rsid w:val="00C57B85"/>
    <w:rsid w:val="00C57E7F"/>
    <w:rsid w:val="00C61F19"/>
    <w:rsid w:val="00C6255C"/>
    <w:rsid w:val="00C649AF"/>
    <w:rsid w:val="00C85E52"/>
    <w:rsid w:val="00C861CB"/>
    <w:rsid w:val="00C903EA"/>
    <w:rsid w:val="00C90E10"/>
    <w:rsid w:val="00CA3D46"/>
    <w:rsid w:val="00CA5924"/>
    <w:rsid w:val="00CB2FB5"/>
    <w:rsid w:val="00CB49B5"/>
    <w:rsid w:val="00CD35F4"/>
    <w:rsid w:val="00CE0AC6"/>
    <w:rsid w:val="00CE1137"/>
    <w:rsid w:val="00CE1DF7"/>
    <w:rsid w:val="00CE2488"/>
    <w:rsid w:val="00CE4A72"/>
    <w:rsid w:val="00CE63E4"/>
    <w:rsid w:val="00CE7F5B"/>
    <w:rsid w:val="00CF6D59"/>
    <w:rsid w:val="00D03FA1"/>
    <w:rsid w:val="00D0573A"/>
    <w:rsid w:val="00D12A20"/>
    <w:rsid w:val="00D15D75"/>
    <w:rsid w:val="00D179D7"/>
    <w:rsid w:val="00D17E76"/>
    <w:rsid w:val="00D30D49"/>
    <w:rsid w:val="00D43109"/>
    <w:rsid w:val="00D45287"/>
    <w:rsid w:val="00D57C70"/>
    <w:rsid w:val="00D6172B"/>
    <w:rsid w:val="00D62DE0"/>
    <w:rsid w:val="00D646DD"/>
    <w:rsid w:val="00D67E8E"/>
    <w:rsid w:val="00D727ED"/>
    <w:rsid w:val="00D74361"/>
    <w:rsid w:val="00D74F91"/>
    <w:rsid w:val="00D83526"/>
    <w:rsid w:val="00D916ED"/>
    <w:rsid w:val="00D94D5F"/>
    <w:rsid w:val="00DA6F57"/>
    <w:rsid w:val="00DA73B1"/>
    <w:rsid w:val="00DB02E9"/>
    <w:rsid w:val="00DB3EB5"/>
    <w:rsid w:val="00DC25DE"/>
    <w:rsid w:val="00DC44B1"/>
    <w:rsid w:val="00DC5070"/>
    <w:rsid w:val="00DC510A"/>
    <w:rsid w:val="00DC7FD1"/>
    <w:rsid w:val="00DD50CB"/>
    <w:rsid w:val="00DE3972"/>
    <w:rsid w:val="00DE6D5D"/>
    <w:rsid w:val="00DF0B35"/>
    <w:rsid w:val="00DF795C"/>
    <w:rsid w:val="00E01C9D"/>
    <w:rsid w:val="00E06D3C"/>
    <w:rsid w:val="00E1182E"/>
    <w:rsid w:val="00E16BAA"/>
    <w:rsid w:val="00E204E2"/>
    <w:rsid w:val="00E22931"/>
    <w:rsid w:val="00E31F4E"/>
    <w:rsid w:val="00E32C14"/>
    <w:rsid w:val="00E34B2C"/>
    <w:rsid w:val="00E52724"/>
    <w:rsid w:val="00E53891"/>
    <w:rsid w:val="00E54C90"/>
    <w:rsid w:val="00E5564F"/>
    <w:rsid w:val="00E60D17"/>
    <w:rsid w:val="00E60F0F"/>
    <w:rsid w:val="00E619DB"/>
    <w:rsid w:val="00E673CF"/>
    <w:rsid w:val="00E77A9F"/>
    <w:rsid w:val="00E77D3C"/>
    <w:rsid w:val="00E827CB"/>
    <w:rsid w:val="00E87A3F"/>
    <w:rsid w:val="00E92322"/>
    <w:rsid w:val="00E94232"/>
    <w:rsid w:val="00EA0524"/>
    <w:rsid w:val="00EA1A61"/>
    <w:rsid w:val="00EC459C"/>
    <w:rsid w:val="00EC7620"/>
    <w:rsid w:val="00ED0B5B"/>
    <w:rsid w:val="00ED4784"/>
    <w:rsid w:val="00ED52AA"/>
    <w:rsid w:val="00ED7281"/>
    <w:rsid w:val="00EE0A03"/>
    <w:rsid w:val="00EE384C"/>
    <w:rsid w:val="00EE5E91"/>
    <w:rsid w:val="00EF15B1"/>
    <w:rsid w:val="00EF43CB"/>
    <w:rsid w:val="00F01FF5"/>
    <w:rsid w:val="00F02139"/>
    <w:rsid w:val="00F052C1"/>
    <w:rsid w:val="00F07721"/>
    <w:rsid w:val="00F07BD2"/>
    <w:rsid w:val="00F15678"/>
    <w:rsid w:val="00F2100D"/>
    <w:rsid w:val="00F23C66"/>
    <w:rsid w:val="00F274D4"/>
    <w:rsid w:val="00F30883"/>
    <w:rsid w:val="00F452DB"/>
    <w:rsid w:val="00F477DB"/>
    <w:rsid w:val="00F47EB7"/>
    <w:rsid w:val="00F5730C"/>
    <w:rsid w:val="00F603FD"/>
    <w:rsid w:val="00F6090F"/>
    <w:rsid w:val="00F672B8"/>
    <w:rsid w:val="00F719DF"/>
    <w:rsid w:val="00F75399"/>
    <w:rsid w:val="00F808AC"/>
    <w:rsid w:val="00F81365"/>
    <w:rsid w:val="00F829DB"/>
    <w:rsid w:val="00F82EAD"/>
    <w:rsid w:val="00F87848"/>
    <w:rsid w:val="00F87DD5"/>
    <w:rsid w:val="00F95B4E"/>
    <w:rsid w:val="00FA3863"/>
    <w:rsid w:val="00FA6FF8"/>
    <w:rsid w:val="00FA742E"/>
    <w:rsid w:val="00FB2B19"/>
    <w:rsid w:val="00FB7308"/>
    <w:rsid w:val="00FC11E4"/>
    <w:rsid w:val="00FC35B5"/>
    <w:rsid w:val="00FC4930"/>
    <w:rsid w:val="00FD4BBB"/>
    <w:rsid w:val="00FE7C87"/>
    <w:rsid w:val="00FF4630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00C84"/>
  <w15:chartTrackingRefBased/>
  <w15:docId w15:val="{2112A15F-B0A8-4EA1-B199-444D5DA1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B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Niveau 5 tiret Etude"/>
    <w:basedOn w:val="Normal"/>
    <w:uiPriority w:val="34"/>
    <w:qFormat/>
    <w:rsid w:val="00024C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C6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FDF"/>
  </w:style>
  <w:style w:type="paragraph" w:styleId="Pieddepage">
    <w:name w:val="footer"/>
    <w:basedOn w:val="Normal"/>
    <w:link w:val="PieddepageCar"/>
    <w:uiPriority w:val="99"/>
    <w:unhideWhenUsed/>
    <w:rsid w:val="006C6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FDF"/>
  </w:style>
  <w:style w:type="table" w:styleId="Grilledutableau">
    <w:name w:val="Table Grid"/>
    <w:basedOn w:val="TableauNormal"/>
    <w:uiPriority w:val="39"/>
    <w:rsid w:val="00221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565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565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565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65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65AF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619D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619D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619DB"/>
    <w:rPr>
      <w:vertAlign w:val="superscript"/>
    </w:rPr>
  </w:style>
  <w:style w:type="paragraph" w:styleId="Rvision">
    <w:name w:val="Revision"/>
    <w:hidden/>
    <w:uiPriority w:val="99"/>
    <w:semiHidden/>
    <w:rsid w:val="001D7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1B300-AB31-4E51-B58B-71232C4B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RABOSSEAU Marlene</dc:creator>
  <cp:keywords/>
  <dc:description/>
  <cp:lastModifiedBy>Mame Ndiack WANE</cp:lastModifiedBy>
  <cp:revision>3</cp:revision>
  <dcterms:created xsi:type="dcterms:W3CDTF">2025-12-08T21:03:00Z</dcterms:created>
  <dcterms:modified xsi:type="dcterms:W3CDTF">2025-12-08T21:03:00Z</dcterms:modified>
</cp:coreProperties>
</file>